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07B3" w14:textId="133E6C37" w:rsidR="00C934ED" w:rsidRDefault="00C934ED">
      <w:pPr>
        <w:pStyle w:val="TitleCover"/>
        <w:pBdr>
          <w:bottom w:val="single" w:sz="18" w:space="31" w:color="auto"/>
        </w:pBdr>
        <w:suppressAutoHyphens/>
        <w:spacing w:before="0" w:after="0"/>
        <w:ind w:right="720"/>
        <w:jc w:val="center"/>
        <w:rPr>
          <w:sz w:val="32"/>
        </w:rPr>
      </w:pPr>
      <w:r>
        <w:rPr>
          <w:sz w:val="32"/>
        </w:rPr>
        <w:t xml:space="preserve">Business Continuity Plan Template </w:t>
      </w:r>
    </w:p>
    <w:p w14:paraId="155BE5C2" w14:textId="77777777" w:rsidR="00C934ED" w:rsidRDefault="00C934ED"/>
    <w:p w14:paraId="0189F575" w14:textId="77777777" w:rsidR="00C934ED" w:rsidRDefault="00C934ED">
      <w:pPr>
        <w:pStyle w:val="TitleCover"/>
        <w:pBdr>
          <w:bottom w:val="single" w:sz="18" w:space="31" w:color="auto"/>
        </w:pBdr>
        <w:suppressAutoHyphens/>
        <w:spacing w:before="0" w:after="0"/>
        <w:ind w:right="720"/>
        <w:jc w:val="center"/>
        <w:rPr>
          <w:sz w:val="32"/>
        </w:rPr>
      </w:pPr>
      <w:r>
        <w:rPr>
          <w:sz w:val="32"/>
        </w:rPr>
        <w:t xml:space="preserve">[Firm Name] </w:t>
      </w:r>
    </w:p>
    <w:p w14:paraId="249A42E7" w14:textId="77777777" w:rsidR="00C934ED" w:rsidRDefault="00C934ED">
      <w:pPr>
        <w:pStyle w:val="TitleCover"/>
        <w:pBdr>
          <w:bottom w:val="single" w:sz="18" w:space="31" w:color="auto"/>
        </w:pBdr>
        <w:suppressAutoHyphens/>
        <w:spacing w:before="0" w:after="0"/>
        <w:ind w:right="720"/>
        <w:jc w:val="center"/>
        <w:rPr>
          <w:sz w:val="32"/>
        </w:rPr>
      </w:pPr>
      <w:r>
        <w:rPr>
          <w:sz w:val="32"/>
        </w:rPr>
        <w:t>Business Continuity Plan (BCP)</w:t>
      </w:r>
    </w:p>
    <w:p w14:paraId="029C29E8" w14:textId="77777777" w:rsidR="00C934ED" w:rsidRDefault="00C934ED">
      <w:pPr>
        <w:pStyle w:val="BodyTextIndent2"/>
        <w:spacing w:line="240" w:lineRule="auto"/>
        <w:ind w:left="0" w:firstLine="0"/>
        <w:jc w:val="both"/>
        <w:rPr>
          <w:u w:val="none"/>
        </w:rPr>
      </w:pPr>
    </w:p>
    <w:p w14:paraId="3C0048C0" w14:textId="77777777" w:rsidR="00C934ED" w:rsidRDefault="00C934ED" w:rsidP="00BC00C8">
      <w:pPr>
        <w:pStyle w:val="Heading1"/>
        <w:tabs>
          <w:tab w:val="clear" w:pos="360"/>
        </w:tabs>
        <w:ind w:left="720" w:hanging="720"/>
      </w:pPr>
      <w:r>
        <w:t>Emergency Contact Persons</w:t>
      </w:r>
    </w:p>
    <w:p w14:paraId="31C2892B" w14:textId="0A7FBFC8" w:rsidR="00855408" w:rsidRDefault="00C934ED">
      <w:pPr>
        <w:pStyle w:val="BodyText2"/>
        <w:rPr>
          <w:bCs w:val="0"/>
        </w:rPr>
      </w:pPr>
      <w:r>
        <w:rPr>
          <w:bCs w:val="0"/>
        </w:rPr>
        <w:t xml:space="preserve">Identify your </w:t>
      </w:r>
      <w:r w:rsidR="00963590">
        <w:rPr>
          <w:bCs w:val="0"/>
        </w:rPr>
        <w:t>County</w:t>
      </w:r>
      <w:r>
        <w:rPr>
          <w:bCs w:val="0"/>
        </w:rPr>
        <w:t>’s two emergency contact persons.</w:t>
      </w:r>
    </w:p>
    <w:p w14:paraId="37DF3FE4" w14:textId="60798A7B" w:rsidR="00855408" w:rsidRDefault="000C2314">
      <w:pPr>
        <w:pStyle w:val="BodyText2"/>
        <w:rPr>
          <w:bCs w:val="0"/>
        </w:rPr>
      </w:pPr>
      <w:r>
        <w:rPr>
          <w:bCs w:val="0"/>
        </w:rPr>
        <w:t xml:space="preserve"> </w:t>
      </w:r>
    </w:p>
    <w:p w14:paraId="19F61D12" w14:textId="362BE6BC" w:rsidR="00855408" w:rsidRDefault="00C934ED" w:rsidP="00710A74">
      <w:pPr>
        <w:pStyle w:val="BodyText2"/>
        <w:numPr>
          <w:ilvl w:val="0"/>
          <w:numId w:val="3"/>
        </w:numPr>
        <w:rPr>
          <w:bCs w:val="0"/>
        </w:rPr>
      </w:pPr>
      <w:r>
        <w:rPr>
          <w:bCs w:val="0"/>
        </w:rPr>
        <w:t>Each emergency contact person must be a</w:t>
      </w:r>
      <w:r w:rsidR="00DA2FA4">
        <w:rPr>
          <w:bCs w:val="0"/>
        </w:rPr>
        <w:t xml:space="preserve">n associated person of the </w:t>
      </w:r>
      <w:r w:rsidR="00963590">
        <w:rPr>
          <w:bCs w:val="0"/>
        </w:rPr>
        <w:t>County</w:t>
      </w:r>
      <w:r w:rsidR="00DA2FA4">
        <w:rPr>
          <w:bCs w:val="0"/>
        </w:rPr>
        <w:t xml:space="preserve">, and at least one emergency contact person must be a member of senior management and a registered principal of the </w:t>
      </w:r>
      <w:r w:rsidR="00963590">
        <w:rPr>
          <w:bCs w:val="0"/>
        </w:rPr>
        <w:t>County</w:t>
      </w:r>
      <w:r w:rsidR="00DA2FA4">
        <w:rPr>
          <w:bCs w:val="0"/>
        </w:rPr>
        <w:t>.</w:t>
      </w:r>
      <w:r w:rsidR="000C2314">
        <w:rPr>
          <w:bCs w:val="0"/>
        </w:rPr>
        <w:t xml:space="preserve"> </w:t>
      </w:r>
    </w:p>
    <w:p w14:paraId="3CA54728" w14:textId="22DFE7FA" w:rsidR="00855408" w:rsidRDefault="00DA2FA4" w:rsidP="00710A74">
      <w:pPr>
        <w:pStyle w:val="BodyText2"/>
        <w:numPr>
          <w:ilvl w:val="0"/>
          <w:numId w:val="3"/>
        </w:numPr>
        <w:rPr>
          <w:bCs w:val="0"/>
        </w:rPr>
      </w:pPr>
      <w:r>
        <w:rPr>
          <w:bCs w:val="0"/>
        </w:rPr>
        <w:t xml:space="preserve">If </w:t>
      </w:r>
      <w:r w:rsidR="004F53AF">
        <w:rPr>
          <w:bCs w:val="0"/>
        </w:rPr>
        <w:t xml:space="preserve">your </w:t>
      </w:r>
      <w:r w:rsidR="00963590">
        <w:rPr>
          <w:bCs w:val="0"/>
        </w:rPr>
        <w:t>County</w:t>
      </w:r>
      <w:r w:rsidR="004F53AF">
        <w:rPr>
          <w:bCs w:val="0"/>
        </w:rPr>
        <w:t xml:space="preserve"> designates a second emergency contact person who is not a registered principal of </w:t>
      </w:r>
      <w:r w:rsidR="00A042A7">
        <w:rPr>
          <w:bCs w:val="0"/>
        </w:rPr>
        <w:t>your</w:t>
      </w:r>
      <w:r w:rsidR="004F53AF">
        <w:rPr>
          <w:bCs w:val="0"/>
        </w:rPr>
        <w:t xml:space="preserve"> </w:t>
      </w:r>
      <w:r w:rsidR="00963590">
        <w:rPr>
          <w:bCs w:val="0"/>
        </w:rPr>
        <w:t>County</w:t>
      </w:r>
      <w:r w:rsidR="004F53AF">
        <w:rPr>
          <w:bCs w:val="0"/>
        </w:rPr>
        <w:t>, then</w:t>
      </w:r>
      <w:r w:rsidR="008C37B6">
        <w:rPr>
          <w:bCs w:val="0"/>
        </w:rPr>
        <w:t xml:space="preserve"> </w:t>
      </w:r>
      <w:r w:rsidR="00A042A7">
        <w:rPr>
          <w:bCs w:val="0"/>
        </w:rPr>
        <w:t>that</w:t>
      </w:r>
      <w:r w:rsidR="004F53AF">
        <w:rPr>
          <w:bCs w:val="0"/>
        </w:rPr>
        <w:t xml:space="preserve"> contact person must be a member of senior management who has knowledge of the </w:t>
      </w:r>
      <w:r w:rsidR="00963590">
        <w:rPr>
          <w:bCs w:val="0"/>
        </w:rPr>
        <w:t>County</w:t>
      </w:r>
      <w:r w:rsidR="004F53AF">
        <w:rPr>
          <w:bCs w:val="0"/>
        </w:rPr>
        <w:t>’s business operations.</w:t>
      </w:r>
      <w:r w:rsidR="000C2314">
        <w:rPr>
          <w:bCs w:val="0"/>
        </w:rPr>
        <w:t xml:space="preserve"> </w:t>
      </w:r>
    </w:p>
    <w:p w14:paraId="71F3D2AE" w14:textId="111E3357" w:rsidR="00C934ED" w:rsidRDefault="00C934ED" w:rsidP="00710A74">
      <w:pPr>
        <w:pStyle w:val="BodyText2"/>
        <w:numPr>
          <w:ilvl w:val="0"/>
          <w:numId w:val="3"/>
        </w:numPr>
        <w:rPr>
          <w:bCs w:val="0"/>
        </w:rPr>
      </w:pPr>
      <w:r>
        <w:rPr>
          <w:bCs w:val="0"/>
        </w:rPr>
        <w:t xml:space="preserve">If your </w:t>
      </w:r>
      <w:r w:rsidR="00963590">
        <w:rPr>
          <w:bCs w:val="0"/>
        </w:rPr>
        <w:t>County</w:t>
      </w:r>
      <w:r>
        <w:rPr>
          <w:bCs w:val="0"/>
        </w:rPr>
        <w:t xml:space="preserve"> </w:t>
      </w:r>
      <w:r w:rsidR="004F53AF">
        <w:rPr>
          <w:bCs w:val="0"/>
        </w:rPr>
        <w:t>has only one associated person</w:t>
      </w:r>
      <w:r w:rsidR="008C37B6">
        <w:rPr>
          <w:bCs w:val="0"/>
        </w:rPr>
        <w:t>,</w:t>
      </w:r>
      <w:r>
        <w:rPr>
          <w:bCs w:val="0"/>
        </w:rPr>
        <w:t xml:space="preserve"> the second emergency contact </w:t>
      </w:r>
      <w:r w:rsidR="00D47618">
        <w:rPr>
          <w:bCs w:val="0"/>
        </w:rPr>
        <w:t>must</w:t>
      </w:r>
      <w:r>
        <w:rPr>
          <w:bCs w:val="0"/>
        </w:rPr>
        <w:t xml:space="preserve"> be an individual, either registered with another </w:t>
      </w:r>
      <w:r w:rsidR="00963590">
        <w:rPr>
          <w:bCs w:val="0"/>
        </w:rPr>
        <w:t>County</w:t>
      </w:r>
      <w:r>
        <w:rPr>
          <w:bCs w:val="0"/>
        </w:rPr>
        <w:t xml:space="preserve"> or non-registered, who has knowledge of your </w:t>
      </w:r>
      <w:r w:rsidR="00963590">
        <w:rPr>
          <w:bCs w:val="0"/>
        </w:rPr>
        <w:t>County</w:t>
      </w:r>
      <w:r>
        <w:rPr>
          <w:bCs w:val="0"/>
        </w:rPr>
        <w:t>’s business operations</w:t>
      </w:r>
      <w:r w:rsidR="005E51A9">
        <w:rPr>
          <w:bCs w:val="0"/>
        </w:rPr>
        <w:t xml:space="preserve"> (e.g., </w:t>
      </w:r>
      <w:r>
        <w:rPr>
          <w:bCs w:val="0"/>
        </w:rPr>
        <w:t xml:space="preserve">your </w:t>
      </w:r>
      <w:r w:rsidR="00963590">
        <w:rPr>
          <w:bCs w:val="0"/>
        </w:rPr>
        <w:t>County</w:t>
      </w:r>
      <w:r>
        <w:rPr>
          <w:bCs w:val="0"/>
        </w:rPr>
        <w:t xml:space="preserve">’s attorney, accountant or clearing </w:t>
      </w:r>
      <w:r w:rsidR="00963590">
        <w:rPr>
          <w:bCs w:val="0"/>
        </w:rPr>
        <w:t>County</w:t>
      </w:r>
      <w:r>
        <w:rPr>
          <w:bCs w:val="0"/>
        </w:rPr>
        <w:t xml:space="preserve"> contact person</w:t>
      </w:r>
      <w:r w:rsidR="005E51A9">
        <w:rPr>
          <w:bCs w:val="0"/>
        </w:rPr>
        <w:t>)</w:t>
      </w:r>
      <w:r>
        <w:rPr>
          <w:bCs w:val="0"/>
        </w:rPr>
        <w:t xml:space="preserve">.  </w:t>
      </w:r>
    </w:p>
    <w:p w14:paraId="31E64164" w14:textId="77777777" w:rsidR="00C934ED" w:rsidRDefault="00C934ED">
      <w:pPr>
        <w:pStyle w:val="BodyText2"/>
        <w:rPr>
          <w:bCs w:val="0"/>
        </w:rPr>
      </w:pPr>
    </w:p>
    <w:p w14:paraId="69676D9F" w14:textId="0EFA099F" w:rsidR="00C934ED" w:rsidRDefault="00C934ED">
      <w:r>
        <w:rPr>
          <w:i/>
          <w:iCs/>
        </w:rPr>
        <w:t>TEXT EXAMPLE:</w:t>
      </w:r>
      <w:r w:rsidR="000C2314">
        <w:rPr>
          <w:i/>
          <w:iCs/>
        </w:rPr>
        <w:t xml:space="preserve"> </w:t>
      </w:r>
      <w:r>
        <w:t xml:space="preserve">Our </w:t>
      </w:r>
      <w:r w:rsidR="00963590">
        <w:t>County</w:t>
      </w:r>
      <w:r>
        <w:t>’s two emergency contact persons are:</w:t>
      </w:r>
    </w:p>
    <w:p w14:paraId="42597DB3" w14:textId="08E17B53" w:rsidR="00F44683" w:rsidRDefault="00F44683"/>
    <w:tbl>
      <w:tblPr>
        <w:tblStyle w:val="TableGrid"/>
        <w:tblW w:w="0" w:type="auto"/>
        <w:tblInd w:w="0" w:type="dxa"/>
        <w:tblLook w:val="04A0" w:firstRow="1" w:lastRow="0" w:firstColumn="1" w:lastColumn="0" w:noHBand="0" w:noVBand="1"/>
      </w:tblPr>
      <w:tblGrid>
        <w:gridCol w:w="1441"/>
        <w:gridCol w:w="1631"/>
        <w:gridCol w:w="1534"/>
        <w:gridCol w:w="1479"/>
        <w:gridCol w:w="1404"/>
        <w:gridCol w:w="1141"/>
      </w:tblGrid>
      <w:tr w:rsidR="009711AE" w14:paraId="0F5F6936" w14:textId="0FD32893" w:rsidTr="00710A74">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40928E5" w14:textId="77777777" w:rsidR="009711AE" w:rsidRPr="00710A74" w:rsidRDefault="009711AE" w:rsidP="00C872C4">
            <w:pPr>
              <w:rPr>
                <w:b/>
              </w:rPr>
            </w:pPr>
            <w:r w:rsidRPr="00710A74">
              <w:rPr>
                <w:b/>
              </w:rPr>
              <w:t>Name</w:t>
            </w:r>
          </w:p>
        </w:tc>
        <w:tc>
          <w:tcPr>
            <w:tcW w:w="16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E728DDE" w14:textId="15A037F4" w:rsidR="009711AE" w:rsidRPr="00710A74" w:rsidRDefault="009711AE" w:rsidP="00F44683">
            <w:pPr>
              <w:rPr>
                <w:b/>
              </w:rPr>
            </w:pPr>
            <w:r w:rsidRPr="00710A74">
              <w:rPr>
                <w:b/>
              </w:rPr>
              <w:t xml:space="preserve">Title or Relationship to </w:t>
            </w:r>
            <w:r w:rsidR="00963590">
              <w:rPr>
                <w:b/>
              </w:rPr>
              <w:t>County</w:t>
            </w:r>
          </w:p>
        </w:tc>
        <w:tc>
          <w:tcPr>
            <w:tcW w:w="15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4BB94BB9" w14:textId="08A7EE9F" w:rsidR="009711AE" w:rsidRPr="00710A74" w:rsidRDefault="009711AE" w:rsidP="00C872C4">
            <w:pPr>
              <w:rPr>
                <w:b/>
              </w:rPr>
            </w:pPr>
            <w:r w:rsidRPr="00710A74">
              <w:rPr>
                <w:b/>
              </w:rPr>
              <w:t>Mailing Address</w:t>
            </w:r>
          </w:p>
        </w:tc>
        <w:tc>
          <w:tcPr>
            <w:tcW w:w="14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E9ADC63" w14:textId="6CF967BC" w:rsidR="009711AE" w:rsidRPr="00710A74" w:rsidRDefault="009711AE" w:rsidP="00C872C4">
            <w:pPr>
              <w:rPr>
                <w:b/>
              </w:rPr>
            </w:pPr>
            <w:r w:rsidRPr="00710A74">
              <w:rPr>
                <w:b/>
              </w:rPr>
              <w:t xml:space="preserve">Email Address </w:t>
            </w:r>
          </w:p>
        </w:tc>
        <w:tc>
          <w:tcPr>
            <w:tcW w:w="14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605962F" w14:textId="7A5C5D56" w:rsidR="009711AE" w:rsidRPr="00710A74" w:rsidRDefault="009711AE" w:rsidP="00C872C4">
            <w:pPr>
              <w:rPr>
                <w:b/>
              </w:rPr>
            </w:pPr>
            <w:r w:rsidRPr="00710A74">
              <w:rPr>
                <w:b/>
              </w:rPr>
              <w:t>Phone Number</w:t>
            </w:r>
          </w:p>
        </w:tc>
        <w:tc>
          <w:tcPr>
            <w:tcW w:w="11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C84859" w14:textId="633D6CE3" w:rsidR="009711AE" w:rsidRPr="00710A74" w:rsidRDefault="009711AE" w:rsidP="00C872C4">
            <w:pPr>
              <w:rPr>
                <w:b/>
              </w:rPr>
            </w:pPr>
            <w:r w:rsidRPr="00710A74">
              <w:rPr>
                <w:b/>
              </w:rPr>
              <w:t>Fax Number</w:t>
            </w:r>
          </w:p>
        </w:tc>
      </w:tr>
      <w:tr w:rsidR="009711AE" w14:paraId="6AE2DE38" w14:textId="488C59F8" w:rsidTr="00710A74">
        <w:tc>
          <w:tcPr>
            <w:tcW w:w="1441" w:type="dxa"/>
            <w:tcBorders>
              <w:top w:val="single" w:sz="4" w:space="0" w:color="auto"/>
              <w:left w:val="single" w:sz="4" w:space="0" w:color="auto"/>
              <w:bottom w:val="single" w:sz="4" w:space="0" w:color="auto"/>
              <w:right w:val="single" w:sz="4" w:space="0" w:color="auto"/>
            </w:tcBorders>
          </w:tcPr>
          <w:p w14:paraId="5A53F1D1" w14:textId="77777777" w:rsidR="009711AE" w:rsidRDefault="009711AE" w:rsidP="00C872C4"/>
        </w:tc>
        <w:tc>
          <w:tcPr>
            <w:tcW w:w="1631" w:type="dxa"/>
            <w:tcBorders>
              <w:top w:val="single" w:sz="4" w:space="0" w:color="auto"/>
              <w:left w:val="single" w:sz="4" w:space="0" w:color="auto"/>
              <w:bottom w:val="single" w:sz="4" w:space="0" w:color="auto"/>
              <w:right w:val="single" w:sz="4" w:space="0" w:color="auto"/>
            </w:tcBorders>
          </w:tcPr>
          <w:p w14:paraId="6170B76A" w14:textId="77777777" w:rsidR="009711AE" w:rsidRDefault="009711AE" w:rsidP="00C872C4"/>
        </w:tc>
        <w:tc>
          <w:tcPr>
            <w:tcW w:w="1534" w:type="dxa"/>
            <w:tcBorders>
              <w:top w:val="single" w:sz="4" w:space="0" w:color="auto"/>
              <w:left w:val="single" w:sz="4" w:space="0" w:color="auto"/>
              <w:bottom w:val="single" w:sz="4" w:space="0" w:color="auto"/>
              <w:right w:val="single" w:sz="4" w:space="0" w:color="auto"/>
            </w:tcBorders>
          </w:tcPr>
          <w:p w14:paraId="3C394B34" w14:textId="77777777" w:rsidR="009711AE" w:rsidRDefault="009711AE" w:rsidP="00C872C4"/>
        </w:tc>
        <w:tc>
          <w:tcPr>
            <w:tcW w:w="1479" w:type="dxa"/>
            <w:tcBorders>
              <w:top w:val="single" w:sz="4" w:space="0" w:color="auto"/>
              <w:left w:val="single" w:sz="4" w:space="0" w:color="auto"/>
              <w:bottom w:val="single" w:sz="4" w:space="0" w:color="auto"/>
              <w:right w:val="single" w:sz="4" w:space="0" w:color="auto"/>
            </w:tcBorders>
          </w:tcPr>
          <w:p w14:paraId="7D06E0BB" w14:textId="77777777" w:rsidR="009711AE" w:rsidRDefault="009711AE" w:rsidP="00C872C4"/>
        </w:tc>
        <w:tc>
          <w:tcPr>
            <w:tcW w:w="1404" w:type="dxa"/>
            <w:tcBorders>
              <w:top w:val="single" w:sz="4" w:space="0" w:color="auto"/>
              <w:left w:val="single" w:sz="4" w:space="0" w:color="auto"/>
              <w:bottom w:val="single" w:sz="4" w:space="0" w:color="auto"/>
              <w:right w:val="single" w:sz="4" w:space="0" w:color="auto"/>
            </w:tcBorders>
          </w:tcPr>
          <w:p w14:paraId="0BE853C8" w14:textId="77777777" w:rsidR="009711AE" w:rsidRDefault="009711AE" w:rsidP="00C872C4"/>
        </w:tc>
        <w:tc>
          <w:tcPr>
            <w:tcW w:w="1141" w:type="dxa"/>
            <w:tcBorders>
              <w:top w:val="single" w:sz="4" w:space="0" w:color="auto"/>
              <w:left w:val="single" w:sz="4" w:space="0" w:color="auto"/>
              <w:bottom w:val="single" w:sz="4" w:space="0" w:color="auto"/>
              <w:right w:val="single" w:sz="4" w:space="0" w:color="auto"/>
            </w:tcBorders>
          </w:tcPr>
          <w:p w14:paraId="4B645E8D" w14:textId="77777777" w:rsidR="009711AE" w:rsidRDefault="009711AE" w:rsidP="00C872C4"/>
        </w:tc>
      </w:tr>
      <w:tr w:rsidR="009711AE" w14:paraId="65700C29" w14:textId="648C30CB" w:rsidTr="00710A74">
        <w:tc>
          <w:tcPr>
            <w:tcW w:w="1441" w:type="dxa"/>
            <w:tcBorders>
              <w:top w:val="single" w:sz="4" w:space="0" w:color="auto"/>
              <w:left w:val="single" w:sz="4" w:space="0" w:color="auto"/>
              <w:bottom w:val="single" w:sz="4" w:space="0" w:color="auto"/>
              <w:right w:val="single" w:sz="4" w:space="0" w:color="auto"/>
            </w:tcBorders>
          </w:tcPr>
          <w:p w14:paraId="1C73FDE3" w14:textId="77777777" w:rsidR="009711AE" w:rsidRDefault="009711AE" w:rsidP="00C872C4"/>
        </w:tc>
        <w:tc>
          <w:tcPr>
            <w:tcW w:w="1631" w:type="dxa"/>
            <w:tcBorders>
              <w:top w:val="single" w:sz="4" w:space="0" w:color="auto"/>
              <w:left w:val="single" w:sz="4" w:space="0" w:color="auto"/>
              <w:bottom w:val="single" w:sz="4" w:space="0" w:color="auto"/>
              <w:right w:val="single" w:sz="4" w:space="0" w:color="auto"/>
            </w:tcBorders>
          </w:tcPr>
          <w:p w14:paraId="28DFA48A" w14:textId="77777777" w:rsidR="009711AE" w:rsidRDefault="009711AE" w:rsidP="00C872C4"/>
        </w:tc>
        <w:tc>
          <w:tcPr>
            <w:tcW w:w="1534" w:type="dxa"/>
            <w:tcBorders>
              <w:top w:val="single" w:sz="4" w:space="0" w:color="auto"/>
              <w:left w:val="single" w:sz="4" w:space="0" w:color="auto"/>
              <w:bottom w:val="single" w:sz="4" w:space="0" w:color="auto"/>
              <w:right w:val="single" w:sz="4" w:space="0" w:color="auto"/>
            </w:tcBorders>
          </w:tcPr>
          <w:p w14:paraId="26B80904" w14:textId="77777777" w:rsidR="009711AE" w:rsidRDefault="009711AE" w:rsidP="00C872C4"/>
        </w:tc>
        <w:tc>
          <w:tcPr>
            <w:tcW w:w="1479" w:type="dxa"/>
            <w:tcBorders>
              <w:top w:val="single" w:sz="4" w:space="0" w:color="auto"/>
              <w:left w:val="single" w:sz="4" w:space="0" w:color="auto"/>
              <w:bottom w:val="single" w:sz="4" w:space="0" w:color="auto"/>
              <w:right w:val="single" w:sz="4" w:space="0" w:color="auto"/>
            </w:tcBorders>
          </w:tcPr>
          <w:p w14:paraId="7D3EB1D8" w14:textId="77777777" w:rsidR="009711AE" w:rsidRDefault="009711AE" w:rsidP="00C872C4"/>
        </w:tc>
        <w:tc>
          <w:tcPr>
            <w:tcW w:w="1404" w:type="dxa"/>
            <w:tcBorders>
              <w:top w:val="single" w:sz="4" w:space="0" w:color="auto"/>
              <w:left w:val="single" w:sz="4" w:space="0" w:color="auto"/>
              <w:bottom w:val="single" w:sz="4" w:space="0" w:color="auto"/>
              <w:right w:val="single" w:sz="4" w:space="0" w:color="auto"/>
            </w:tcBorders>
          </w:tcPr>
          <w:p w14:paraId="6939B20A" w14:textId="77777777" w:rsidR="009711AE" w:rsidRDefault="009711AE" w:rsidP="00C872C4"/>
        </w:tc>
        <w:tc>
          <w:tcPr>
            <w:tcW w:w="1141" w:type="dxa"/>
            <w:tcBorders>
              <w:top w:val="single" w:sz="4" w:space="0" w:color="auto"/>
              <w:left w:val="single" w:sz="4" w:space="0" w:color="auto"/>
              <w:bottom w:val="single" w:sz="4" w:space="0" w:color="auto"/>
              <w:right w:val="single" w:sz="4" w:space="0" w:color="auto"/>
            </w:tcBorders>
          </w:tcPr>
          <w:p w14:paraId="7138D953" w14:textId="77777777" w:rsidR="009711AE" w:rsidRDefault="009711AE" w:rsidP="00C872C4"/>
        </w:tc>
      </w:tr>
    </w:tbl>
    <w:p w14:paraId="6581607F" w14:textId="61ED1D24" w:rsidR="00C934ED" w:rsidRDefault="00C934ED">
      <w:pPr>
        <w:rPr>
          <w:i/>
        </w:rPr>
      </w:pPr>
    </w:p>
    <w:p w14:paraId="2F5FD0BD" w14:textId="77777777" w:rsidR="00C934ED" w:rsidRDefault="00C934ED">
      <w:pPr>
        <w:rPr>
          <w:iCs/>
        </w:rPr>
      </w:pPr>
    </w:p>
    <w:p w14:paraId="09D7AC05" w14:textId="1723DFB8" w:rsidR="00C934ED" w:rsidRDefault="00963590" w:rsidP="009B6391">
      <w:pPr>
        <w:pStyle w:val="Heading1"/>
        <w:tabs>
          <w:tab w:val="clear" w:pos="360"/>
        </w:tabs>
        <w:ind w:left="720" w:hanging="720"/>
      </w:pPr>
      <w:r>
        <w:t>County</w:t>
      </w:r>
      <w:r w:rsidR="00C934ED">
        <w:t xml:space="preserve"> Policy </w:t>
      </w:r>
    </w:p>
    <w:p w14:paraId="1A92FD7E" w14:textId="1360C796" w:rsidR="00C934ED" w:rsidRDefault="00500E9F">
      <w:r w:rsidRPr="00500E9F">
        <w:t>Hocking County is located in South Eastern Ohio at Coordinates 39.50 N by 82.48 W and was founded on March 1, 1818.  Hocking County is home to approximately 28,097 people as of the 2020 Census.  Hocking County is named after the Hocking River which comes from the Delaware Indian word for Bottle River.</w:t>
      </w:r>
      <w:r w:rsidR="004A5B1F">
        <w:t xml:space="preserve"> </w:t>
      </w:r>
      <w:r w:rsidR="004A5B1F" w:rsidRPr="004A5B1F">
        <w:t>Our mission is to provide efficient service of the highest quality, and to deliver county services equitably.</w:t>
      </w:r>
    </w:p>
    <w:p w14:paraId="14139E06" w14:textId="77777777" w:rsidR="00C934ED" w:rsidRDefault="00C934ED"/>
    <w:p w14:paraId="4FA1F816" w14:textId="77777777" w:rsidR="00C934ED" w:rsidRDefault="00C934ED" w:rsidP="009B6391">
      <w:pPr>
        <w:pStyle w:val="Heading2"/>
        <w:tabs>
          <w:tab w:val="clear" w:pos="1080"/>
        </w:tabs>
        <w:ind w:left="1440" w:hanging="720"/>
      </w:pPr>
      <w:r>
        <w:t>Significant Business Disruptions (SBDs)</w:t>
      </w:r>
    </w:p>
    <w:p w14:paraId="13B74EC5" w14:textId="064F9EE4" w:rsidR="00C934ED" w:rsidRDefault="00392B3D">
      <w:pPr>
        <w:rPr>
          <w:iCs/>
        </w:rPr>
      </w:pPr>
      <w:r>
        <w:t>A</w:t>
      </w:r>
      <w:r w:rsidR="003F2748">
        <w:t>n</w:t>
      </w:r>
      <w:r>
        <w:t xml:space="preserve"> SBD may </w:t>
      </w:r>
      <w:r w:rsidR="00CD6DB6">
        <w:t xml:space="preserve">affect only our </w:t>
      </w:r>
      <w:r w:rsidR="00963590">
        <w:t>County</w:t>
      </w:r>
      <w:r w:rsidR="00CD6DB6">
        <w:t xml:space="preserve"> (</w:t>
      </w:r>
      <w:r w:rsidR="00CD6DB6" w:rsidRPr="00710A74">
        <w:rPr>
          <w:i/>
        </w:rPr>
        <w:t>e.g.</w:t>
      </w:r>
      <w:r w:rsidR="00CD6DB6">
        <w:t>, a fire in our office building</w:t>
      </w:r>
      <w:r w:rsidR="0051563A">
        <w:t xml:space="preserve"> or cyber event</w:t>
      </w:r>
      <w:r w:rsidR="00CD6DB6">
        <w:t xml:space="preserve">) or may be widespread affecting several </w:t>
      </w:r>
      <w:r w:rsidR="00963590">
        <w:t>County</w:t>
      </w:r>
      <w:r w:rsidR="004A5B1F">
        <w:t xml:space="preserve"> propertie</w:t>
      </w:r>
      <w:r w:rsidR="00CD6DB6">
        <w:t xml:space="preserve">s or the operation of the </w:t>
      </w:r>
      <w:r w:rsidR="00336975">
        <w:t xml:space="preserve">county </w:t>
      </w:r>
      <w:r w:rsidR="00CD6DB6">
        <w:lastRenderedPageBreak/>
        <w:t>(</w:t>
      </w:r>
      <w:r w:rsidR="00CD6DB6" w:rsidRPr="00710A74">
        <w:rPr>
          <w:i/>
        </w:rPr>
        <w:t>e.g.</w:t>
      </w:r>
      <w:r w:rsidR="00CD6DB6">
        <w:t>,</w:t>
      </w:r>
      <w:r w:rsidR="00C934ED">
        <w:t xml:space="preserve"> a terrorist attack, a </w:t>
      </w:r>
      <w:r w:rsidR="00CD6DB6">
        <w:t>natural disaster</w:t>
      </w:r>
      <w:r w:rsidR="00C934ED">
        <w:t xml:space="preserve"> or a </w:t>
      </w:r>
      <w:r w:rsidR="00CD6DB6">
        <w:t>pandemic)</w:t>
      </w:r>
      <w:r w:rsidR="00C934ED">
        <w:t xml:space="preserve">. </w:t>
      </w:r>
      <w:r w:rsidR="003F0E1B">
        <w:t xml:space="preserve">Our response will vary depending on the severity of the SBD, which may include greater reliance </w:t>
      </w:r>
      <w:r w:rsidR="00C934ED">
        <w:t xml:space="preserve">on other organizations and systems, especially on the capabilities of our clearing </w:t>
      </w:r>
      <w:r w:rsidR="00963590">
        <w:t>County</w:t>
      </w:r>
      <w:r w:rsidR="00C934ED">
        <w:t>.</w:t>
      </w:r>
    </w:p>
    <w:p w14:paraId="7A5588D2" w14:textId="77777777" w:rsidR="00C934ED" w:rsidRDefault="00C934ED"/>
    <w:p w14:paraId="3E6ED567" w14:textId="5356DC7A" w:rsidR="00C934ED" w:rsidRDefault="009B6391" w:rsidP="009B6391">
      <w:pPr>
        <w:pStyle w:val="Heading2"/>
        <w:tabs>
          <w:tab w:val="clear" w:pos="1080"/>
        </w:tabs>
        <w:ind w:left="1440" w:hanging="720"/>
      </w:pPr>
      <w:r>
        <w:t xml:space="preserve">Plan </w:t>
      </w:r>
      <w:r w:rsidR="00D47E14">
        <w:t>Approval</w:t>
      </w:r>
      <w:r>
        <w:t xml:space="preserve"> and Annual Reviews</w:t>
      </w:r>
      <w:r w:rsidR="00C934ED">
        <w:t xml:space="preserve"> </w:t>
      </w:r>
    </w:p>
    <w:p w14:paraId="3CFDA6A9" w14:textId="1DAF77FC" w:rsidR="00C934ED" w:rsidRDefault="00C934ED">
      <w:r>
        <w:t>[</w:t>
      </w:r>
      <w:r w:rsidRPr="00710A74">
        <w:rPr>
          <w:iCs/>
        </w:rPr>
        <w:t>Name, title</w:t>
      </w:r>
      <w:r>
        <w:t>], a registered principal</w:t>
      </w:r>
      <w:r w:rsidR="00D47E14" w:rsidRPr="00D47E14">
        <w:rPr>
          <w:iCs/>
        </w:rPr>
        <w:t xml:space="preserve"> </w:t>
      </w:r>
      <w:r w:rsidR="00D47E14">
        <w:rPr>
          <w:iCs/>
        </w:rPr>
        <w:t>and member of senior management</w:t>
      </w:r>
      <w:r>
        <w:t xml:space="preserve">, is responsible for approving </w:t>
      </w:r>
      <w:r w:rsidR="00246F5B">
        <w:t>the plan</w:t>
      </w:r>
      <w:r w:rsidR="00D47E14">
        <w:t xml:space="preserve"> </w:t>
      </w:r>
      <w:r>
        <w:t>and for conducting the required annual review.</w:t>
      </w:r>
    </w:p>
    <w:p w14:paraId="1C9EE05C" w14:textId="77777777" w:rsidR="00BA52D4" w:rsidRDefault="00BA52D4"/>
    <w:p w14:paraId="69EF7DDB" w14:textId="77777777" w:rsidR="00C934ED" w:rsidRDefault="00C934ED"/>
    <w:p w14:paraId="23BC19F2" w14:textId="77777777" w:rsidR="00C934ED" w:rsidRDefault="00C934ED" w:rsidP="009B6391">
      <w:pPr>
        <w:pStyle w:val="Heading2"/>
        <w:tabs>
          <w:tab w:val="clear" w:pos="1080"/>
        </w:tabs>
        <w:ind w:left="1440" w:hanging="720"/>
      </w:pPr>
      <w:r>
        <w:t xml:space="preserve">Plan Location and Access </w:t>
      </w:r>
    </w:p>
    <w:p w14:paraId="023C1529" w14:textId="09F1A0FE" w:rsidR="00C934ED" w:rsidRDefault="00783497">
      <w:r>
        <w:t>O</w:t>
      </w:r>
      <w:r w:rsidR="003F2748">
        <w:t>ur</w:t>
      </w:r>
      <w:r w:rsidR="00C934ED">
        <w:t xml:space="preserve"> </w:t>
      </w:r>
      <w:r w:rsidR="00963590">
        <w:t>County</w:t>
      </w:r>
      <w:r w:rsidR="00C934ED">
        <w:t xml:space="preserve"> will maintain copies of its BCP</w:t>
      </w:r>
      <w:r w:rsidR="00CD6DB6">
        <w:t>,</w:t>
      </w:r>
      <w:r w:rsidR="00CD6DB6" w:rsidRPr="00CD6DB6">
        <w:t xml:space="preserve"> </w:t>
      </w:r>
      <w:r w:rsidR="00CD6DB6">
        <w:t>any modifications that have been made to the BCP</w:t>
      </w:r>
      <w:r w:rsidR="00C934ED">
        <w:t xml:space="preserve"> and the annual reviews for inspection.</w:t>
      </w:r>
      <w:r w:rsidR="000C2314">
        <w:t xml:space="preserve"> </w:t>
      </w:r>
      <w:r w:rsidR="00CD6DB6">
        <w:rPr>
          <w:iCs/>
        </w:rPr>
        <w:t xml:space="preserve">The BCP </w:t>
      </w:r>
      <w:r w:rsidR="00C934ED">
        <w:rPr>
          <w:iCs/>
        </w:rPr>
        <w:t xml:space="preserve">is </w:t>
      </w:r>
      <w:r w:rsidR="002B3C35">
        <w:rPr>
          <w:iCs/>
        </w:rPr>
        <w:t xml:space="preserve">also </w:t>
      </w:r>
      <w:r w:rsidR="00CD6DB6">
        <w:rPr>
          <w:iCs/>
        </w:rPr>
        <w:t xml:space="preserve">available </w:t>
      </w:r>
      <w:r w:rsidR="002B3C35">
        <w:rPr>
          <w:iCs/>
        </w:rPr>
        <w:t xml:space="preserve">to all employees </w:t>
      </w:r>
      <w:r w:rsidR="00C934ED">
        <w:rPr>
          <w:iCs/>
        </w:rPr>
        <w:t xml:space="preserve">on </w:t>
      </w:r>
      <w:r w:rsidR="002B3C35">
        <w:rPr>
          <w:iCs/>
        </w:rPr>
        <w:t>[</w:t>
      </w:r>
      <w:r w:rsidR="002B3C35" w:rsidRPr="003232AE">
        <w:rPr>
          <w:iCs/>
        </w:rPr>
        <w:t xml:space="preserve">internal webpage or </w:t>
      </w:r>
      <w:r w:rsidR="00C934ED" w:rsidRPr="00710A74">
        <w:t>server name</w:t>
      </w:r>
      <w:r w:rsidR="00C934ED" w:rsidRPr="003232AE">
        <w:rPr>
          <w:iCs/>
        </w:rPr>
        <w:t xml:space="preserve"> in the </w:t>
      </w:r>
      <w:r w:rsidR="00C934ED" w:rsidRPr="00710A74">
        <w:t>file/folder name</w:t>
      </w:r>
      <w:r w:rsidR="00C934ED">
        <w:rPr>
          <w:iCs/>
        </w:rPr>
        <w:t>].</w:t>
      </w:r>
      <w:r w:rsidR="002B3C35">
        <w:rPr>
          <w:iCs/>
        </w:rPr>
        <w:t xml:space="preserve"> </w:t>
      </w:r>
    </w:p>
    <w:p w14:paraId="601E31F0" w14:textId="77777777" w:rsidR="00C934ED" w:rsidRDefault="00C934ED"/>
    <w:p w14:paraId="5527E31B" w14:textId="77777777" w:rsidR="00C934ED" w:rsidRDefault="00C934ED">
      <w:pPr>
        <w:pStyle w:val="Header"/>
        <w:tabs>
          <w:tab w:val="clear" w:pos="4320"/>
          <w:tab w:val="clear" w:pos="8640"/>
        </w:tabs>
      </w:pPr>
    </w:p>
    <w:p w14:paraId="76405364" w14:textId="77777777" w:rsidR="00C934ED" w:rsidRDefault="00C934ED" w:rsidP="00046467">
      <w:pPr>
        <w:pStyle w:val="Heading1"/>
        <w:tabs>
          <w:tab w:val="clear" w:pos="360"/>
        </w:tabs>
        <w:ind w:left="720" w:hanging="720"/>
      </w:pPr>
      <w:r>
        <w:t>Office Locations</w:t>
      </w:r>
    </w:p>
    <w:p w14:paraId="1CCC1DEA" w14:textId="44262EC8" w:rsidR="00C934ED" w:rsidRDefault="00C934ED">
      <w:pPr>
        <w:pStyle w:val="BodyText2"/>
        <w:rPr>
          <w:bCs w:val="0"/>
        </w:rPr>
      </w:pPr>
      <w:r>
        <w:rPr>
          <w:bCs w:val="0"/>
        </w:rPr>
        <w:t>List the locations of all of your offices, registered and unregistered, and state which mission critical systems, as defined below, take place at each location.</w:t>
      </w:r>
    </w:p>
    <w:p w14:paraId="5DA453C7" w14:textId="77777777" w:rsidR="00C934ED" w:rsidRDefault="00C934ED"/>
    <w:p w14:paraId="042ED4DC" w14:textId="1E13170C" w:rsidR="00C934ED" w:rsidRDefault="00C934ED">
      <w:pPr>
        <w:rPr>
          <w:bCs/>
          <w:i/>
          <w:iCs/>
        </w:rPr>
      </w:pPr>
      <w:r>
        <w:rPr>
          <w:bCs/>
        </w:rPr>
        <w:t>TEXT EXAMPLE:</w:t>
      </w:r>
      <w:r w:rsidR="000C2314">
        <w:rPr>
          <w:bCs/>
        </w:rPr>
        <w:t xml:space="preserve"> </w:t>
      </w:r>
      <w:r>
        <w:rPr>
          <w:bCs/>
          <w:i/>
          <w:iCs/>
        </w:rPr>
        <w:t xml:space="preserve">Our </w:t>
      </w:r>
      <w:r w:rsidR="00963590">
        <w:rPr>
          <w:bCs/>
          <w:i/>
          <w:iCs/>
        </w:rPr>
        <w:t>County</w:t>
      </w:r>
      <w:r>
        <w:rPr>
          <w:bCs/>
          <w:i/>
          <w:iCs/>
        </w:rPr>
        <w:t xml:space="preserve"> has offices located in Location #1 and Location #2.  </w:t>
      </w:r>
    </w:p>
    <w:p w14:paraId="13A8AE0D" w14:textId="77777777" w:rsidR="00C934ED" w:rsidRDefault="00C934ED">
      <w:pPr>
        <w:rPr>
          <w:i/>
          <w:iCs/>
        </w:rPr>
      </w:pPr>
    </w:p>
    <w:p w14:paraId="4929F00E" w14:textId="77777777" w:rsidR="00C934ED" w:rsidRDefault="00C934ED" w:rsidP="00046467">
      <w:pPr>
        <w:pStyle w:val="Heading2"/>
        <w:tabs>
          <w:tab w:val="clear" w:pos="1080"/>
        </w:tabs>
        <w:ind w:left="1440" w:hanging="720"/>
      </w:pPr>
      <w:r>
        <w:t>Office Location #1</w:t>
      </w:r>
    </w:p>
    <w:p w14:paraId="68EB1FED" w14:textId="755708FF" w:rsidR="00C934ED" w:rsidRDefault="00C934ED">
      <w:r>
        <w:t>Our Location #1 Office is located at [</w:t>
      </w:r>
      <w:r w:rsidRPr="00710A74">
        <w:rPr>
          <w:iCs/>
        </w:rPr>
        <w:t>address</w:t>
      </w:r>
      <w:r>
        <w:t>]. Its main phone number is [</w:t>
      </w:r>
      <w:r w:rsidRPr="00710A74">
        <w:rPr>
          <w:iCs/>
        </w:rPr>
        <w:t>insert</w:t>
      </w:r>
      <w:r>
        <w:t>]</w:t>
      </w:r>
      <w:r w:rsidR="00C872C4">
        <w:t xml:space="preserve"> and the [office manager or other point of contact] is [name, email and phone number]</w:t>
      </w:r>
      <w:r>
        <w:t xml:space="preserve">. </w:t>
      </w:r>
      <w:r w:rsidR="001436C8">
        <w:t>[</w:t>
      </w:r>
      <w:r w:rsidRPr="003232AE">
        <w:t xml:space="preserve">Our employees </w:t>
      </w:r>
      <w:r w:rsidR="001436C8" w:rsidRPr="003232AE">
        <w:t>rely on public transportation to travel to the office.</w:t>
      </w:r>
      <w:r w:rsidR="001436C8">
        <w:t>]</w:t>
      </w:r>
      <w:r>
        <w:t xml:space="preserve"> We engage in order taking and entry at this location.</w:t>
      </w:r>
      <w:r w:rsidR="00C872C4">
        <w:t xml:space="preserve"> [The alternate location or back-up location is [</w:t>
      </w:r>
      <w:r w:rsidR="00C872C4" w:rsidRPr="00816230">
        <w:rPr>
          <w:iCs/>
        </w:rPr>
        <w:t xml:space="preserve">name of </w:t>
      </w:r>
      <w:r w:rsidR="00963590">
        <w:rPr>
          <w:iCs/>
        </w:rPr>
        <w:t>County</w:t>
      </w:r>
      <w:r w:rsidR="00C872C4" w:rsidRPr="00816230">
        <w:rPr>
          <w:iCs/>
        </w:rPr>
        <w:t xml:space="preserve"> (if different),</w:t>
      </w:r>
      <w:r w:rsidR="00C872C4" w:rsidRPr="003232AE">
        <w:t xml:space="preserve"> </w:t>
      </w:r>
      <w:r w:rsidR="00C872C4" w:rsidRPr="00816230">
        <w:rPr>
          <w:iCs/>
        </w:rPr>
        <w:t>address, phone number</w:t>
      </w:r>
      <w:r w:rsidR="00C872C4">
        <w:t>].]</w:t>
      </w:r>
      <w:r w:rsidR="00710A74">
        <w:t xml:space="preserve">  I</w:t>
      </w:r>
      <w:r w:rsidR="00710A74" w:rsidRPr="00710A74">
        <w:t>n the event that Location #1 Office is inaccessible</w:t>
      </w:r>
      <w:r w:rsidR="00D66BBA">
        <w:t>,</w:t>
      </w:r>
      <w:r w:rsidR="00710A74" w:rsidRPr="00710A74">
        <w:t xml:space="preserve"> or staff is working remotely due to an SBD, mail will be directed or forwarded to the alternate location or back-up location.</w:t>
      </w:r>
    </w:p>
    <w:p w14:paraId="68B8A4B6" w14:textId="77777777" w:rsidR="00D66BBA" w:rsidRDefault="00D66BBA"/>
    <w:p w14:paraId="1F34B4F2" w14:textId="77777777" w:rsidR="00C934ED" w:rsidRDefault="00C934ED"/>
    <w:p w14:paraId="440E6654" w14:textId="77777777" w:rsidR="00C934ED" w:rsidRDefault="00C934ED" w:rsidP="00EF6880">
      <w:pPr>
        <w:pStyle w:val="Heading2"/>
        <w:keepNext/>
        <w:tabs>
          <w:tab w:val="clear" w:pos="1080"/>
        </w:tabs>
        <w:ind w:left="1440" w:hanging="720"/>
      </w:pPr>
      <w:r>
        <w:t>Office Location #2</w:t>
      </w:r>
    </w:p>
    <w:p w14:paraId="77788A1E" w14:textId="6F2BC551" w:rsidR="00C934ED" w:rsidRDefault="00C934ED" w:rsidP="00EF6880">
      <w:pPr>
        <w:keepNext/>
      </w:pPr>
      <w:r>
        <w:t>Our Location #2 Office is located at [</w:t>
      </w:r>
      <w:r w:rsidRPr="00710A74">
        <w:rPr>
          <w:iCs/>
        </w:rPr>
        <w:t>address</w:t>
      </w:r>
      <w:r>
        <w:t>].</w:t>
      </w:r>
      <w:r w:rsidR="000C2314">
        <w:t xml:space="preserve"> </w:t>
      </w:r>
      <w:r>
        <w:t>Its main phone number is [</w:t>
      </w:r>
      <w:r w:rsidRPr="00710A74">
        <w:rPr>
          <w:iCs/>
        </w:rPr>
        <w:t>insert</w:t>
      </w:r>
      <w:r>
        <w:t>]</w:t>
      </w:r>
      <w:r w:rsidR="00C872C4" w:rsidRPr="00C872C4">
        <w:t xml:space="preserve"> </w:t>
      </w:r>
      <w:r w:rsidR="00C872C4">
        <w:t>and the [office manager or other point of contact] is [name, email and phone number]</w:t>
      </w:r>
      <w:r>
        <w:t xml:space="preserve">. </w:t>
      </w:r>
      <w:r w:rsidR="001436C8">
        <w:t>[Our employees rely on public transportation to travel to the office.]</w:t>
      </w:r>
      <w:r w:rsidR="003232AE">
        <w:t xml:space="preserve"> </w:t>
      </w:r>
      <w:r>
        <w:t>We engage in order taking and entry at this location.</w:t>
      </w:r>
      <w:r w:rsidR="00C872C4">
        <w:t xml:space="preserve"> [The alternate location or back-up location is [</w:t>
      </w:r>
      <w:r w:rsidR="00C872C4" w:rsidRPr="00816230">
        <w:rPr>
          <w:iCs/>
        </w:rPr>
        <w:t xml:space="preserve">name of </w:t>
      </w:r>
      <w:r w:rsidR="00963590">
        <w:rPr>
          <w:iCs/>
        </w:rPr>
        <w:t>County</w:t>
      </w:r>
      <w:r w:rsidR="00C872C4" w:rsidRPr="00816230">
        <w:rPr>
          <w:iCs/>
        </w:rPr>
        <w:t xml:space="preserve"> (if different),</w:t>
      </w:r>
      <w:r w:rsidR="00C872C4" w:rsidRPr="003232AE">
        <w:t xml:space="preserve"> </w:t>
      </w:r>
      <w:r w:rsidR="00C872C4" w:rsidRPr="00816230">
        <w:rPr>
          <w:iCs/>
        </w:rPr>
        <w:t>address, phone number</w:t>
      </w:r>
      <w:r w:rsidR="00C872C4">
        <w:t>].]</w:t>
      </w:r>
      <w:r w:rsidR="00710A74">
        <w:t xml:space="preserve"> </w:t>
      </w:r>
      <w:r w:rsidR="00710A74" w:rsidRPr="00710A74">
        <w:t>In the event that Location #2 Office is inaccessible</w:t>
      </w:r>
      <w:r w:rsidR="00D66BBA">
        <w:t>,</w:t>
      </w:r>
      <w:r w:rsidR="00710A74" w:rsidRPr="00710A74">
        <w:t xml:space="preserve"> or staff is working remotely due to an SBD, mail will be directed or forwarded to the alternate location or back-up location.</w:t>
      </w:r>
    </w:p>
    <w:p w14:paraId="6657866D" w14:textId="77777777" w:rsidR="00C934ED" w:rsidRDefault="00C934ED"/>
    <w:p w14:paraId="46CCE23B" w14:textId="5F64F40C" w:rsidR="00C934ED" w:rsidRDefault="00C934ED" w:rsidP="008B6DB0">
      <w:pPr>
        <w:pStyle w:val="Heading1"/>
        <w:tabs>
          <w:tab w:val="clear" w:pos="360"/>
        </w:tabs>
        <w:ind w:left="720" w:hanging="720"/>
      </w:pPr>
      <w:r>
        <w:t>Alternate Physical Location(s) of Employees</w:t>
      </w:r>
    </w:p>
    <w:p w14:paraId="3D0FDB15" w14:textId="434A3608" w:rsidR="00C934ED" w:rsidRDefault="00C934ED">
      <w:pPr>
        <w:pStyle w:val="BodyText2"/>
        <w:rPr>
          <w:bCs w:val="0"/>
        </w:rPr>
      </w:pPr>
      <w:r>
        <w:rPr>
          <w:bCs w:val="0"/>
        </w:rPr>
        <w:t xml:space="preserve">List the alternate physical location(s) your </w:t>
      </w:r>
      <w:r w:rsidR="00963590">
        <w:rPr>
          <w:bCs w:val="0"/>
        </w:rPr>
        <w:t>County</w:t>
      </w:r>
      <w:r>
        <w:rPr>
          <w:bCs w:val="0"/>
        </w:rPr>
        <w:t xml:space="preserve"> will use in the event an SBD affects the operation of your office locations. </w:t>
      </w:r>
    </w:p>
    <w:p w14:paraId="245492D1" w14:textId="77777777" w:rsidR="00C934ED" w:rsidRDefault="00C934ED"/>
    <w:p w14:paraId="755E590E" w14:textId="6D81BAD1" w:rsidR="00A319DB" w:rsidRDefault="00C934ED">
      <w:r>
        <w:rPr>
          <w:bCs/>
        </w:rPr>
        <w:t>TEXT EXAMPLE:</w:t>
      </w:r>
      <w:r w:rsidR="000C2314">
        <w:rPr>
          <w:bCs/>
        </w:rPr>
        <w:t xml:space="preserve"> </w:t>
      </w:r>
      <w:r>
        <w:t xml:space="preserve">In the event </w:t>
      </w:r>
      <w:r w:rsidR="00B92DC5">
        <w:t xml:space="preserve">of an SBD </w:t>
      </w:r>
      <w:r w:rsidR="0065053D">
        <w:t>impacting our ability to operate in a location</w:t>
      </w:r>
      <w:r>
        <w:t xml:space="preserve">, staff </w:t>
      </w:r>
      <w:r w:rsidR="00593A8E">
        <w:t xml:space="preserve">in the affected office(s) will move </w:t>
      </w:r>
      <w:r>
        <w:t xml:space="preserve">to </w:t>
      </w:r>
      <w:r w:rsidR="00E631F4">
        <w:t>[</w:t>
      </w:r>
      <w:r>
        <w:t>the closest of our unaffected office location</w:t>
      </w:r>
      <w:r w:rsidR="00C0367A">
        <w:t>(</w:t>
      </w:r>
      <w:r>
        <w:t>s</w:t>
      </w:r>
      <w:r w:rsidR="00C0367A">
        <w:t>)</w:t>
      </w:r>
      <w:r w:rsidR="00593A8E">
        <w:t xml:space="preserve"> or our back</w:t>
      </w:r>
      <w:r w:rsidR="001D617B">
        <w:t>-</w:t>
      </w:r>
      <w:r w:rsidR="00593A8E">
        <w:t xml:space="preserve">up location at </w:t>
      </w:r>
      <w:r>
        <w:t>[</w:t>
      </w:r>
      <w:r w:rsidRPr="00710A74">
        <w:rPr>
          <w:iCs/>
        </w:rPr>
        <w:t xml:space="preserve">name of </w:t>
      </w:r>
      <w:r w:rsidR="00963590">
        <w:rPr>
          <w:iCs/>
        </w:rPr>
        <w:t>County</w:t>
      </w:r>
      <w:r w:rsidRPr="00710A74">
        <w:rPr>
          <w:iCs/>
        </w:rPr>
        <w:t xml:space="preserve"> (if different),</w:t>
      </w:r>
      <w:r w:rsidRPr="003232AE">
        <w:t xml:space="preserve"> </w:t>
      </w:r>
      <w:r w:rsidRPr="00710A74">
        <w:rPr>
          <w:iCs/>
        </w:rPr>
        <w:t>address</w:t>
      </w:r>
      <w:r w:rsidR="00593A8E" w:rsidRPr="00710A74">
        <w:rPr>
          <w:iCs/>
        </w:rPr>
        <w:t>, phone number</w:t>
      </w:r>
      <w:r>
        <w:t>]</w:t>
      </w:r>
      <w:r w:rsidR="00E631F4">
        <w:t>]</w:t>
      </w:r>
      <w:r>
        <w:t xml:space="preserve">. </w:t>
      </w:r>
    </w:p>
    <w:p w14:paraId="78529A0B" w14:textId="77777777" w:rsidR="00A319DB" w:rsidRDefault="00A319DB"/>
    <w:p w14:paraId="5B911BC3" w14:textId="4C382922" w:rsidR="00C934ED" w:rsidRDefault="00593A8E">
      <w:r>
        <w:t xml:space="preserve">If the </w:t>
      </w:r>
      <w:r w:rsidR="00E631F4">
        <w:t>[</w:t>
      </w:r>
      <w:r>
        <w:t>alternate office location or back</w:t>
      </w:r>
      <w:r w:rsidR="00A33492">
        <w:t>-</w:t>
      </w:r>
      <w:r>
        <w:t>up location</w:t>
      </w:r>
      <w:r w:rsidR="00E631F4">
        <w:t>]</w:t>
      </w:r>
      <w:r>
        <w:t xml:space="preserve"> is unavailable</w:t>
      </w:r>
      <w:r w:rsidR="00A33492">
        <w:t xml:space="preserve"> or infeasible (</w:t>
      </w:r>
      <w:r w:rsidR="00A33492" w:rsidRPr="00710A74">
        <w:rPr>
          <w:i/>
        </w:rPr>
        <w:t>e.g.</w:t>
      </w:r>
      <w:r w:rsidR="00A33492">
        <w:t>, due to the inability to employ social distancing during a pandemic)</w:t>
      </w:r>
      <w:r>
        <w:t xml:space="preserve">, staff may temporarily </w:t>
      </w:r>
      <w:r w:rsidR="00E631F4">
        <w:t>work</w:t>
      </w:r>
      <w:r>
        <w:t xml:space="preserve"> from a remote location (</w:t>
      </w:r>
      <w:r w:rsidRPr="00BF55CF">
        <w:rPr>
          <w:i/>
        </w:rPr>
        <w:t>e.g.</w:t>
      </w:r>
      <w:r>
        <w:t xml:space="preserve">, staff may work from home because of health and safety reasons during a pandemic). </w:t>
      </w:r>
      <w:r w:rsidR="00A33492">
        <w:t>In this event, we will maintain a list of employee working locations and contact information.</w:t>
      </w:r>
    </w:p>
    <w:p w14:paraId="3DA62E98" w14:textId="15F7F90E" w:rsidR="00F05466" w:rsidRDefault="00F05466"/>
    <w:p w14:paraId="651A508C" w14:textId="65F54F0E" w:rsidR="00F05466" w:rsidRDefault="00F05466">
      <w:r w:rsidRPr="00F05466">
        <w:t>The risk of cyber</w:t>
      </w:r>
      <w:r>
        <w:t>security</w:t>
      </w:r>
      <w:r w:rsidRPr="00F05466">
        <w:t xml:space="preserve"> events may be increased due to use of remote o</w:t>
      </w:r>
      <w:r>
        <w:t>ffices or telework arrangements</w:t>
      </w:r>
      <w:r w:rsidRPr="00F05466">
        <w:t xml:space="preserve">. </w:t>
      </w:r>
      <w:r>
        <w:t>We will</w:t>
      </w:r>
      <w:r w:rsidRPr="00F05466">
        <w:t xml:space="preserve"> remain vigilant in </w:t>
      </w:r>
      <w:r>
        <w:t>our</w:t>
      </w:r>
      <w:r w:rsidRPr="00F05466">
        <w:t xml:space="preserve"> surveillance against cyber threats and take steps to reduce the risk of cyber events. </w:t>
      </w:r>
      <w:r>
        <w:t>[</w:t>
      </w:r>
      <w:r w:rsidRPr="00F05466">
        <w:t>These steps may include: (1) ensuring that virtual private networks (VPN) and other remote access systems are properly patched with available security updates; (2) checking that system entitlements are current; (3) employing the use of multi-factor authentication for associated persons who access systems remotely; and (4) reminding associated persons of cyber risks through education and other exercises that promote heightened vigilance.</w:t>
      </w:r>
      <w:r>
        <w:t>]</w:t>
      </w:r>
    </w:p>
    <w:p w14:paraId="29973985" w14:textId="77777777" w:rsidR="00C934ED" w:rsidRDefault="00C934ED"/>
    <w:p w14:paraId="24F2966F" w14:textId="566248CA" w:rsidR="00C934ED" w:rsidRDefault="00C934ED" w:rsidP="00710A74">
      <w:pPr>
        <w:pStyle w:val="Heading1"/>
        <w:tabs>
          <w:tab w:val="clear" w:pos="360"/>
        </w:tabs>
      </w:pPr>
      <w:r>
        <w:t>Data Back-Up and Recovery</w:t>
      </w:r>
    </w:p>
    <w:p w14:paraId="0981DDFE" w14:textId="470C8DA0" w:rsidR="00C934ED" w:rsidRDefault="00C934ED">
      <w:r>
        <w:rPr>
          <w:i/>
        </w:rPr>
        <w:t xml:space="preserve">Identify the location of your </w:t>
      </w:r>
      <w:r w:rsidR="00963590">
        <w:rPr>
          <w:i/>
        </w:rPr>
        <w:t>County</w:t>
      </w:r>
      <w:r>
        <w:rPr>
          <w:i/>
        </w:rPr>
        <w:t xml:space="preserve">’s primary </w:t>
      </w:r>
      <w:r w:rsidR="00B7569E">
        <w:rPr>
          <w:i/>
        </w:rPr>
        <w:t xml:space="preserve">or original </w:t>
      </w:r>
      <w:r>
        <w:rPr>
          <w:i/>
        </w:rPr>
        <w:t xml:space="preserve">books and records and the location of your </w:t>
      </w:r>
      <w:r w:rsidR="00963590">
        <w:rPr>
          <w:i/>
        </w:rPr>
        <w:t>County</w:t>
      </w:r>
      <w:r>
        <w:rPr>
          <w:i/>
        </w:rPr>
        <w:t xml:space="preserve">’s back-up </w:t>
      </w:r>
      <w:r w:rsidR="00B7569E">
        <w:rPr>
          <w:i/>
        </w:rPr>
        <w:t xml:space="preserve">copy of </w:t>
      </w:r>
      <w:r>
        <w:rPr>
          <w:i/>
        </w:rPr>
        <w:t>books and records.</w:t>
      </w:r>
      <w:r w:rsidR="000C2314">
        <w:rPr>
          <w:i/>
        </w:rPr>
        <w:t xml:space="preserve"> </w:t>
      </w:r>
      <w:r>
        <w:rPr>
          <w:i/>
        </w:rPr>
        <w:t xml:space="preserve">Describe how your </w:t>
      </w:r>
      <w:r w:rsidR="00963590">
        <w:rPr>
          <w:i/>
        </w:rPr>
        <w:t>County</w:t>
      </w:r>
      <w:r>
        <w:rPr>
          <w:i/>
        </w:rPr>
        <w:t xml:space="preserve"> backs up its data.</w:t>
      </w:r>
      <w:r w:rsidR="000C2314">
        <w:rPr>
          <w:i/>
        </w:rPr>
        <w:t xml:space="preserve"> </w:t>
      </w:r>
      <w:r>
        <w:rPr>
          <w:i/>
        </w:rPr>
        <w:t xml:space="preserve">In addition, describe how your </w:t>
      </w:r>
      <w:r w:rsidR="00963590">
        <w:rPr>
          <w:i/>
        </w:rPr>
        <w:t>County</w:t>
      </w:r>
      <w:r>
        <w:rPr>
          <w:i/>
        </w:rPr>
        <w:t xml:space="preserve"> will recover data in the event of an SBD.  </w:t>
      </w:r>
    </w:p>
    <w:p w14:paraId="562E1F8E" w14:textId="77777777" w:rsidR="00C934ED" w:rsidRDefault="00C934ED"/>
    <w:p w14:paraId="61B0222E" w14:textId="298CDC8E" w:rsidR="00C934ED" w:rsidRDefault="00C934ED" w:rsidP="00710A74">
      <w:r>
        <w:rPr>
          <w:i/>
        </w:rPr>
        <w:t>TEXT EXAMPLE</w:t>
      </w:r>
      <w:r>
        <w:t xml:space="preserve">: Our </w:t>
      </w:r>
      <w:r w:rsidR="00963590">
        <w:t>County</w:t>
      </w:r>
      <w:r>
        <w:t xml:space="preserve"> maintains its primary </w:t>
      </w:r>
      <w:r w:rsidR="00B7569E">
        <w:t xml:space="preserve">or original </w:t>
      </w:r>
      <w:r>
        <w:t>books and records</w:t>
      </w:r>
      <w:r w:rsidR="0008759A">
        <w:t xml:space="preserve"> in [electronic form, </w:t>
      </w:r>
      <w:r w:rsidR="0008759A" w:rsidRPr="0012302F">
        <w:rPr>
          <w:iCs/>
        </w:rPr>
        <w:t>paper</w:t>
      </w:r>
      <w:r w:rsidR="0008759A">
        <w:rPr>
          <w:iCs/>
        </w:rPr>
        <w:t xml:space="preserve"> form or both electronic and paper form</w:t>
      </w:r>
      <w:r w:rsidR="0008759A">
        <w:t>]</w:t>
      </w:r>
      <w:r>
        <w:t xml:space="preserve"> at [</w:t>
      </w:r>
      <w:r w:rsidRPr="00710A74">
        <w:rPr>
          <w:iCs/>
        </w:rPr>
        <w:t>address</w:t>
      </w:r>
      <w:r>
        <w:t>]. [</w:t>
      </w:r>
      <w:r w:rsidRPr="00710A74">
        <w:rPr>
          <w:iCs/>
        </w:rPr>
        <w:t>Name, title, phone number</w:t>
      </w:r>
      <w:r>
        <w:t xml:space="preserve">] is responsible for the maintenance of these books and records. Our </w:t>
      </w:r>
      <w:r w:rsidR="00963590">
        <w:t>County</w:t>
      </w:r>
      <w:r>
        <w:t xml:space="preserve"> </w:t>
      </w:r>
      <w:r w:rsidR="00B7569E">
        <w:t xml:space="preserve">exclusively </w:t>
      </w:r>
      <w:r>
        <w:t xml:space="preserve">maintains the following document types and forms that are not transmitted to our clearing </w:t>
      </w:r>
      <w:r w:rsidR="00963590">
        <w:t>County</w:t>
      </w:r>
      <w:r>
        <w:t>: [</w:t>
      </w:r>
      <w:r w:rsidRPr="00710A74">
        <w:rPr>
          <w:iCs/>
        </w:rPr>
        <w:t>List document types and forms, such as new account forms, etc</w:t>
      </w:r>
      <w:r w:rsidRPr="003232AE">
        <w:t>.</w:t>
      </w:r>
      <w:r>
        <w:t>].</w:t>
      </w:r>
    </w:p>
    <w:p w14:paraId="3983CFDC" w14:textId="48628C4C" w:rsidR="0008759A" w:rsidRDefault="00C934ED" w:rsidP="00710A74">
      <w:pPr>
        <w:spacing w:before="240"/>
      </w:pPr>
      <w:r>
        <w:t xml:space="preserve">Our </w:t>
      </w:r>
      <w:r w:rsidR="00963590">
        <w:t>County</w:t>
      </w:r>
      <w:r>
        <w:t xml:space="preserve"> maintains its back-up </w:t>
      </w:r>
      <w:r w:rsidR="00B7569E">
        <w:t xml:space="preserve">copy of </w:t>
      </w:r>
      <w:r>
        <w:t xml:space="preserve">books and records </w:t>
      </w:r>
      <w:r w:rsidR="0008759A">
        <w:t xml:space="preserve">in [electronic form, </w:t>
      </w:r>
      <w:r w:rsidR="0008759A" w:rsidRPr="0012302F">
        <w:rPr>
          <w:iCs/>
        </w:rPr>
        <w:t>paper</w:t>
      </w:r>
      <w:r w:rsidR="0008759A">
        <w:rPr>
          <w:iCs/>
        </w:rPr>
        <w:t xml:space="preserve"> form or both electronic and paper form</w:t>
      </w:r>
      <w:r w:rsidR="0008759A">
        <w:t xml:space="preserve">] </w:t>
      </w:r>
      <w:r>
        <w:t>at [</w:t>
      </w:r>
      <w:r w:rsidRPr="00710A74">
        <w:rPr>
          <w:iCs/>
        </w:rPr>
        <w:t>other address</w:t>
      </w:r>
      <w:r>
        <w:t>]. [</w:t>
      </w:r>
      <w:r w:rsidRPr="00710A74">
        <w:rPr>
          <w:iCs/>
        </w:rPr>
        <w:t>Name, title, phone number</w:t>
      </w:r>
      <w:r>
        <w:t xml:space="preserve">] is responsible for the maintenance of the back-up </w:t>
      </w:r>
      <w:r w:rsidR="009350F2">
        <w:t xml:space="preserve">copy of our </w:t>
      </w:r>
      <w:r>
        <w:t>books and records.</w:t>
      </w:r>
    </w:p>
    <w:p w14:paraId="5231D959" w14:textId="77777777" w:rsidR="0008759A" w:rsidRDefault="0008759A"/>
    <w:p w14:paraId="5E1E5C45" w14:textId="71F2209D" w:rsidR="00C934ED" w:rsidRDefault="00C934ED">
      <w:r>
        <w:t xml:space="preserve">Our </w:t>
      </w:r>
      <w:r w:rsidR="00963590">
        <w:t>County</w:t>
      </w:r>
      <w:r>
        <w:t xml:space="preserve"> backs up its paper </w:t>
      </w:r>
      <w:r w:rsidR="00C63664">
        <w:t xml:space="preserve">books and </w:t>
      </w:r>
      <w:r>
        <w:t xml:space="preserve">records by copying and </w:t>
      </w:r>
      <w:r w:rsidR="0008759A">
        <w:t xml:space="preserve">physically </w:t>
      </w:r>
      <w:r>
        <w:t>taking the</w:t>
      </w:r>
      <w:r w:rsidR="0037784D">
        <w:t xml:space="preserve"> paper copies</w:t>
      </w:r>
      <w:r>
        <w:t xml:space="preserve"> to our back-up site. We back up our </w:t>
      </w:r>
      <w:r w:rsidR="0008759A">
        <w:t xml:space="preserve">paper </w:t>
      </w:r>
      <w:r w:rsidR="00C63664">
        <w:t xml:space="preserve">books and </w:t>
      </w:r>
      <w:r>
        <w:t>records every [</w:t>
      </w:r>
      <w:r w:rsidRPr="00710A74">
        <w:rPr>
          <w:iCs/>
        </w:rPr>
        <w:t>time period</w:t>
      </w:r>
      <w:r>
        <w:t>].</w:t>
      </w:r>
      <w:r w:rsidR="00C63664">
        <w:t xml:space="preserve"> </w:t>
      </w:r>
      <w:r>
        <w:t xml:space="preserve">The </w:t>
      </w:r>
      <w:r w:rsidR="00963590">
        <w:t>County</w:t>
      </w:r>
      <w:r>
        <w:t xml:space="preserve"> backs up its electronic </w:t>
      </w:r>
      <w:r w:rsidR="00C63664">
        <w:t xml:space="preserve">books and </w:t>
      </w:r>
      <w:r>
        <w:t>records daily [</w:t>
      </w:r>
      <w:r w:rsidRPr="00710A74">
        <w:rPr>
          <w:iCs/>
        </w:rPr>
        <w:t>or other time period</w:t>
      </w:r>
      <w:r w:rsidRPr="003232AE">
        <w:t>]</w:t>
      </w:r>
      <w:r>
        <w:t xml:space="preserve"> by [</w:t>
      </w:r>
      <w:r w:rsidRPr="00710A74">
        <w:rPr>
          <w:iCs/>
        </w:rPr>
        <w:t>describe process</w:t>
      </w:r>
      <w:r>
        <w:t>], and keeps a</w:t>
      </w:r>
      <w:r w:rsidR="0037784D">
        <w:t>n electronic</w:t>
      </w:r>
      <w:r>
        <w:t xml:space="preserve"> copy at </w:t>
      </w:r>
      <w:r w:rsidR="00C63664">
        <w:t xml:space="preserve">our </w:t>
      </w:r>
      <w:r w:rsidR="00C63664">
        <w:rPr>
          <w:iCs/>
        </w:rPr>
        <w:t>b</w:t>
      </w:r>
      <w:r w:rsidRPr="00710A74">
        <w:rPr>
          <w:iCs/>
        </w:rPr>
        <w:t>ack-up site</w:t>
      </w:r>
      <w:r>
        <w:t>.</w:t>
      </w:r>
    </w:p>
    <w:p w14:paraId="4DC6ADD7" w14:textId="77777777" w:rsidR="00C934ED" w:rsidRDefault="00C934ED"/>
    <w:p w14:paraId="5A07E4B9" w14:textId="0F857119" w:rsidR="00C934ED" w:rsidRDefault="00C934ED">
      <w:r>
        <w:t xml:space="preserve">In the event of an SBD that causes the loss of our </w:t>
      </w:r>
      <w:r w:rsidR="0037784D">
        <w:t xml:space="preserve">primary or original </w:t>
      </w:r>
      <w:r>
        <w:t xml:space="preserve">paper </w:t>
      </w:r>
      <w:r w:rsidR="0037784D">
        <w:t xml:space="preserve">books and </w:t>
      </w:r>
      <w:r>
        <w:t xml:space="preserve">records, we will physically recover </w:t>
      </w:r>
      <w:r w:rsidR="0037784D">
        <w:t xml:space="preserve">paper copies of </w:t>
      </w:r>
      <w:r>
        <w:t xml:space="preserve">them from our back-up site. For the loss of </w:t>
      </w:r>
      <w:r w:rsidR="0037784D">
        <w:t xml:space="preserve">our primary or original </w:t>
      </w:r>
      <w:r>
        <w:t xml:space="preserve">electronic </w:t>
      </w:r>
      <w:r w:rsidR="0037784D">
        <w:t xml:space="preserve">books and </w:t>
      </w:r>
      <w:r>
        <w:t xml:space="preserve">records, we will </w:t>
      </w:r>
      <w:r w:rsidR="0037784D">
        <w:t xml:space="preserve">obtain electronic copies of them from our back-up site or </w:t>
      </w:r>
      <w:r>
        <w:t xml:space="preserve">physically recover the </w:t>
      </w:r>
      <w:r w:rsidR="0037784D">
        <w:t xml:space="preserve">electronic </w:t>
      </w:r>
      <w:r>
        <w:t xml:space="preserve">storage media </w:t>
      </w:r>
      <w:r w:rsidR="0037784D">
        <w:lastRenderedPageBreak/>
        <w:t>from our back-up site</w:t>
      </w:r>
      <w:r>
        <w:t>.</w:t>
      </w:r>
      <w:r w:rsidR="0037784D">
        <w:t xml:space="preserve"> </w:t>
      </w:r>
      <w:r w:rsidR="004F2C24">
        <w:t>[The back-up copy of our books and records is maintained by a recordkeeping service [</w:t>
      </w:r>
      <w:r w:rsidR="004F2C24">
        <w:rPr>
          <w:iCs/>
        </w:rPr>
        <w:t xml:space="preserve">Name, address, </w:t>
      </w:r>
      <w:r w:rsidR="004F2C24" w:rsidRPr="0012302F">
        <w:rPr>
          <w:iCs/>
        </w:rPr>
        <w:t>phone number</w:t>
      </w:r>
      <w:r w:rsidR="004F2C24">
        <w:t xml:space="preserve">]. In the event of an SBD that causes the loss of our primary or original books and records, we will obtain the back-up copy of books and records from that recordkeeping service.] </w:t>
      </w:r>
      <w:r w:rsidR="0037784D">
        <w:t>If our primary site is inoperable, we will continue operations from our back-up site or an alternate location.</w:t>
      </w:r>
    </w:p>
    <w:p w14:paraId="3399E1A6" w14:textId="77777777" w:rsidR="00C934ED" w:rsidRDefault="00C934ED">
      <w:pPr>
        <w:rPr>
          <w:i/>
          <w:u w:val="single"/>
        </w:rPr>
      </w:pPr>
    </w:p>
    <w:p w14:paraId="0D1B5198" w14:textId="381A1648" w:rsidR="00C934ED" w:rsidRDefault="00C934ED" w:rsidP="00710A74">
      <w:pPr>
        <w:pStyle w:val="Heading1"/>
        <w:tabs>
          <w:tab w:val="clear" w:pos="360"/>
        </w:tabs>
      </w:pPr>
      <w:r>
        <w:t xml:space="preserve">Operational Assessments </w:t>
      </w:r>
    </w:p>
    <w:p w14:paraId="2043BF61" w14:textId="50D432A1" w:rsidR="00C934ED" w:rsidRDefault="00C934ED">
      <w:pPr>
        <w:rPr>
          <w:i/>
          <w:iCs/>
          <w:color w:val="000000"/>
          <w:sz w:val="22"/>
        </w:rPr>
      </w:pPr>
      <w:r>
        <w:rPr>
          <w:i/>
          <w:iCs/>
        </w:rPr>
        <w:t xml:space="preserve">Describe your </w:t>
      </w:r>
      <w:r w:rsidR="00963590">
        <w:rPr>
          <w:i/>
          <w:iCs/>
        </w:rPr>
        <w:t>County</w:t>
      </w:r>
      <w:r>
        <w:rPr>
          <w:i/>
          <w:iCs/>
        </w:rPr>
        <w:t xml:space="preserve">’s </w:t>
      </w:r>
      <w:r>
        <w:rPr>
          <w:i/>
          <w:iCs/>
          <w:color w:val="000000"/>
        </w:rPr>
        <w:t xml:space="preserve">procedures to identify changes in its operational, financial and credit risk exposures in the event of an SBD. Your </w:t>
      </w:r>
      <w:r w:rsidR="00963590">
        <w:rPr>
          <w:i/>
          <w:iCs/>
          <w:color w:val="000000"/>
        </w:rPr>
        <w:t>County</w:t>
      </w:r>
      <w:r>
        <w:rPr>
          <w:i/>
          <w:iCs/>
          <w:color w:val="000000"/>
        </w:rPr>
        <w:t xml:space="preserve"> should periodically assess the changes in these exposures and quickly make such an assessment in connection with an SBD.  </w:t>
      </w:r>
    </w:p>
    <w:p w14:paraId="5D4AD18F" w14:textId="7105D98E" w:rsidR="00C934ED" w:rsidRPr="00710A74" w:rsidRDefault="00C934ED" w:rsidP="006C28C2">
      <w:pPr>
        <w:pStyle w:val="Heading2"/>
        <w:tabs>
          <w:tab w:val="clear" w:pos="1080"/>
        </w:tabs>
        <w:ind w:left="1440" w:hanging="720"/>
        <w:rPr>
          <w:color w:val="000000"/>
        </w:rPr>
      </w:pPr>
      <w:r>
        <w:t>Operational Risk</w:t>
      </w:r>
    </w:p>
    <w:p w14:paraId="1A564653" w14:textId="6511FAB1" w:rsidR="00C934ED" w:rsidRDefault="00C934ED">
      <w:pPr>
        <w:rPr>
          <w:i/>
          <w:iCs/>
          <w:color w:val="000000"/>
        </w:rPr>
      </w:pPr>
      <w:r>
        <w:rPr>
          <w:i/>
          <w:iCs/>
          <w:color w:val="000000"/>
        </w:rPr>
        <w:t xml:space="preserve">Operational risk includes the </w:t>
      </w:r>
      <w:r w:rsidR="00963590">
        <w:rPr>
          <w:i/>
          <w:iCs/>
          <w:color w:val="000000"/>
        </w:rPr>
        <w:t>County</w:t>
      </w:r>
      <w:r>
        <w:rPr>
          <w:i/>
          <w:iCs/>
          <w:color w:val="000000"/>
        </w:rPr>
        <w:t xml:space="preserve">’s ability to maintain communications with customers and to retrieve key activity records through its mission critical systems.  </w:t>
      </w:r>
    </w:p>
    <w:p w14:paraId="7AD49CCA" w14:textId="77777777" w:rsidR="00C934ED" w:rsidRDefault="00C934ED">
      <w:pPr>
        <w:rPr>
          <w:i/>
          <w:iCs/>
          <w:color w:val="000000"/>
        </w:rPr>
      </w:pPr>
    </w:p>
    <w:p w14:paraId="498FEBE4" w14:textId="784695A0" w:rsidR="00C934ED" w:rsidRDefault="00C934ED">
      <w:r>
        <w:rPr>
          <w:i/>
          <w:iCs/>
          <w:color w:val="000000"/>
        </w:rPr>
        <w:t xml:space="preserve">TEXT EXAMPLE: </w:t>
      </w:r>
      <w:r>
        <w:rPr>
          <w:color w:val="000000"/>
        </w:rPr>
        <w:t xml:space="preserve">In the event of an SBD, we will </w:t>
      </w:r>
      <w:r w:rsidR="008F1815">
        <w:rPr>
          <w:color w:val="000000"/>
        </w:rPr>
        <w:t xml:space="preserve">identify whether there are any limitations on our ability </w:t>
      </w:r>
      <w:r>
        <w:rPr>
          <w:color w:val="000000"/>
        </w:rPr>
        <w:t xml:space="preserve">to communicate with our customers, employees, critical business constituents, critical banks, critical counter-parties and regulators. </w:t>
      </w:r>
      <w:r w:rsidR="0018372C">
        <w:rPr>
          <w:color w:val="000000"/>
        </w:rPr>
        <w:t>Depending on the limitat</w:t>
      </w:r>
      <w:r w:rsidR="00BD111B">
        <w:rPr>
          <w:color w:val="000000"/>
        </w:rPr>
        <w:t>ions, we will employ alternate</w:t>
      </w:r>
      <w:r w:rsidR="0018372C">
        <w:rPr>
          <w:color w:val="000000"/>
        </w:rPr>
        <w:t xml:space="preserve"> modes of communic</w:t>
      </w:r>
      <w:r w:rsidR="00194FB0">
        <w:rPr>
          <w:color w:val="000000"/>
        </w:rPr>
        <w:t xml:space="preserve">ation, including [our website, </w:t>
      </w:r>
      <w:r w:rsidR="0018372C">
        <w:rPr>
          <w:color w:val="000000"/>
        </w:rPr>
        <w:t xml:space="preserve">phone or email], to communicate with customers, employees, critical business constituents, critical banks, critical counter-parties and regulators. </w:t>
      </w:r>
      <w:r w:rsidR="0018372C" w:rsidRPr="00F46D86">
        <w:t xml:space="preserve">If registered </w:t>
      </w:r>
      <w:r w:rsidR="00ED59AA">
        <w:t>persons</w:t>
      </w:r>
      <w:r w:rsidR="0018372C" w:rsidRPr="00F46D86">
        <w:t xml:space="preserve"> are una</w:t>
      </w:r>
      <w:r w:rsidR="0018372C">
        <w:t>ble</w:t>
      </w:r>
      <w:r w:rsidR="0018372C" w:rsidRPr="00F46D86">
        <w:t xml:space="preserve"> to service customers, </w:t>
      </w:r>
      <w:r w:rsidR="0018372C">
        <w:t xml:space="preserve">our </w:t>
      </w:r>
      <w:r w:rsidR="00963590">
        <w:t>County</w:t>
      </w:r>
      <w:r w:rsidR="0018372C">
        <w:t xml:space="preserve"> will </w:t>
      </w:r>
      <w:r w:rsidR="0002762A">
        <w:t>[</w:t>
      </w:r>
      <w:r w:rsidR="0018372C">
        <w:t>post on our website</w:t>
      </w:r>
      <w:r w:rsidR="0002762A">
        <w:t xml:space="preserve"> or customer portal or send an email to customers notifying customers that they]</w:t>
      </w:r>
      <w:r w:rsidR="0018372C">
        <w:t xml:space="preserve"> may access their funds and securities by contacting [</w:t>
      </w:r>
      <w:r w:rsidR="0018372C" w:rsidRPr="00710A74">
        <w:rPr>
          <w:iCs/>
        </w:rPr>
        <w:t>insert contact information</w:t>
      </w:r>
      <w:r w:rsidR="0018372C">
        <w:t xml:space="preserve">]. </w:t>
      </w:r>
      <w:r>
        <w:rPr>
          <w:color w:val="000000"/>
        </w:rPr>
        <w:t xml:space="preserve">In addition, we will retrieve our key activity records as described in the section </w:t>
      </w:r>
      <w:r>
        <w:t>above, Data Back-Up and Recovery.</w:t>
      </w:r>
    </w:p>
    <w:p w14:paraId="321763AA" w14:textId="77777777" w:rsidR="00C934ED" w:rsidRDefault="00C934ED">
      <w:pPr>
        <w:rPr>
          <w:i/>
        </w:rPr>
      </w:pPr>
    </w:p>
    <w:p w14:paraId="1AF2E27E" w14:textId="2F7B8E80" w:rsidR="00C934ED" w:rsidRDefault="00C934ED" w:rsidP="00710A74">
      <w:pPr>
        <w:pStyle w:val="Heading1"/>
        <w:tabs>
          <w:tab w:val="clear" w:pos="360"/>
        </w:tabs>
      </w:pPr>
      <w:r>
        <w:rPr>
          <w:bCs w:val="0"/>
        </w:rPr>
        <w:t>Mission Critical Systems</w:t>
      </w:r>
    </w:p>
    <w:p w14:paraId="72E7C619" w14:textId="29C2D8B2" w:rsidR="00C934ED" w:rsidRDefault="00C934ED">
      <w:pPr>
        <w:pStyle w:val="BodyText2"/>
        <w:rPr>
          <w:bCs w:val="0"/>
        </w:rPr>
      </w:pPr>
      <w:r>
        <w:rPr>
          <w:bCs w:val="0"/>
        </w:rPr>
        <w:t xml:space="preserve">Describe your </w:t>
      </w:r>
      <w:r w:rsidR="00963590">
        <w:rPr>
          <w:bCs w:val="0"/>
        </w:rPr>
        <w:t>County</w:t>
      </w:r>
      <w:r>
        <w:rPr>
          <w:bCs w:val="0"/>
        </w:rPr>
        <w:t>’s mission critical systems</w:t>
      </w:r>
      <w:r w:rsidR="00B01A0B">
        <w:rPr>
          <w:bCs w:val="0"/>
        </w:rPr>
        <w:t xml:space="preserve">. If your </w:t>
      </w:r>
      <w:r w:rsidR="00963590">
        <w:rPr>
          <w:bCs w:val="0"/>
        </w:rPr>
        <w:t>County</w:t>
      </w:r>
      <w:r w:rsidR="00B01A0B">
        <w:rPr>
          <w:bCs w:val="0"/>
        </w:rPr>
        <w:t xml:space="preserve"> relies on the clearing </w:t>
      </w:r>
      <w:r w:rsidR="00963590">
        <w:rPr>
          <w:bCs w:val="0"/>
        </w:rPr>
        <w:t>County</w:t>
      </w:r>
      <w:r w:rsidR="00B01A0B">
        <w:rPr>
          <w:bCs w:val="0"/>
        </w:rPr>
        <w:t xml:space="preserve"> for any mission critical system,</w:t>
      </w:r>
      <w:r>
        <w:rPr>
          <w:bCs w:val="0"/>
        </w:rPr>
        <w:t xml:space="preserve"> </w:t>
      </w:r>
      <w:r w:rsidR="00B01A0B">
        <w:rPr>
          <w:bCs w:val="0"/>
        </w:rPr>
        <w:t>describe</w:t>
      </w:r>
      <w:r>
        <w:rPr>
          <w:bCs w:val="0"/>
        </w:rPr>
        <w:t xml:space="preserve"> </w:t>
      </w:r>
      <w:r w:rsidR="00D86B58">
        <w:rPr>
          <w:bCs w:val="0"/>
        </w:rPr>
        <w:t xml:space="preserve">your </w:t>
      </w:r>
      <w:r w:rsidR="00963590">
        <w:rPr>
          <w:bCs w:val="0"/>
        </w:rPr>
        <w:t>County</w:t>
      </w:r>
      <w:r w:rsidR="00D86B58">
        <w:rPr>
          <w:bCs w:val="0"/>
        </w:rPr>
        <w:t xml:space="preserve">’s </w:t>
      </w:r>
      <w:r>
        <w:rPr>
          <w:bCs w:val="0"/>
        </w:rPr>
        <w:t xml:space="preserve">review </w:t>
      </w:r>
      <w:r w:rsidR="00D86B58">
        <w:rPr>
          <w:bCs w:val="0"/>
        </w:rPr>
        <w:t>of its</w:t>
      </w:r>
      <w:r>
        <w:rPr>
          <w:bCs w:val="0"/>
        </w:rPr>
        <w:t xml:space="preserve"> clearing </w:t>
      </w:r>
      <w:r w:rsidR="00963590">
        <w:rPr>
          <w:bCs w:val="0"/>
        </w:rPr>
        <w:t>County</w:t>
      </w:r>
      <w:r>
        <w:rPr>
          <w:bCs w:val="0"/>
        </w:rPr>
        <w:t xml:space="preserve">’s capabilities to perform mission critical functions for your </w:t>
      </w:r>
      <w:r w:rsidR="00963590">
        <w:rPr>
          <w:bCs w:val="0"/>
        </w:rPr>
        <w:t>County</w:t>
      </w:r>
      <w:r>
        <w:rPr>
          <w:bCs w:val="0"/>
        </w:rPr>
        <w:t>.</w:t>
      </w:r>
    </w:p>
    <w:p w14:paraId="40A7B47A" w14:textId="77777777" w:rsidR="00C934ED" w:rsidRDefault="00C934ED"/>
    <w:p w14:paraId="7CC38ED9" w14:textId="1D781EB7" w:rsidR="00C934ED" w:rsidRDefault="00C934ED">
      <w:r>
        <w:rPr>
          <w:i/>
          <w:iCs/>
          <w:color w:val="000000"/>
        </w:rPr>
        <w:t>TEXT EXAMPLE:</w:t>
      </w:r>
      <w:r w:rsidR="000C2314">
        <w:rPr>
          <w:color w:val="000000"/>
        </w:rPr>
        <w:t xml:space="preserve"> </w:t>
      </w:r>
      <w:r>
        <w:t xml:space="preserve">Our </w:t>
      </w:r>
      <w:r w:rsidR="00963590">
        <w:t>County</w:t>
      </w:r>
      <w:r>
        <w:t xml:space="preserve">’s “mission critical systems” are those that ensure prompt and accurate processing of securities transactions, including order taking, entry, execution, comparison, allocation, clearance and settlement of securities transactions, the maintenance of customer accounts, access to customer accounts and the delivery of funds and securities. More specifically, these systems include: </w:t>
      </w:r>
    </w:p>
    <w:tbl>
      <w:tblPr>
        <w:tblStyle w:val="TableGrid"/>
        <w:tblW w:w="0" w:type="auto"/>
        <w:tblInd w:w="0" w:type="dxa"/>
        <w:tblLook w:val="04A0" w:firstRow="1" w:lastRow="0" w:firstColumn="1" w:lastColumn="0" w:noHBand="0" w:noVBand="1"/>
      </w:tblPr>
      <w:tblGrid>
        <w:gridCol w:w="2188"/>
        <w:gridCol w:w="2208"/>
        <w:gridCol w:w="2325"/>
        <w:gridCol w:w="1909"/>
      </w:tblGrid>
      <w:tr w:rsidR="00C872C4" w14:paraId="4F1C2F5C" w14:textId="586F4064" w:rsidTr="00710A74">
        <w:tc>
          <w:tcPr>
            <w:tcW w:w="2188" w:type="dxa"/>
            <w:shd w:val="clear" w:color="auto" w:fill="C6D9F1" w:themeFill="text2" w:themeFillTint="33"/>
            <w:vAlign w:val="bottom"/>
          </w:tcPr>
          <w:p w14:paraId="7872E6F2" w14:textId="42A0EDF9" w:rsidR="00C872C4" w:rsidRPr="00710A74" w:rsidRDefault="00C872C4">
            <w:pPr>
              <w:rPr>
                <w:b/>
              </w:rPr>
            </w:pPr>
            <w:r w:rsidRPr="00710A74">
              <w:rPr>
                <w:b/>
              </w:rPr>
              <w:t>Mission Critical System</w:t>
            </w:r>
          </w:p>
        </w:tc>
        <w:tc>
          <w:tcPr>
            <w:tcW w:w="2208" w:type="dxa"/>
            <w:shd w:val="clear" w:color="auto" w:fill="C6D9F1" w:themeFill="text2" w:themeFillTint="33"/>
            <w:vAlign w:val="bottom"/>
          </w:tcPr>
          <w:p w14:paraId="6B12BA23" w14:textId="5DD9E601" w:rsidR="00C872C4" w:rsidRPr="00710A74" w:rsidRDefault="00C872C4" w:rsidP="00C872C4">
            <w:pPr>
              <w:rPr>
                <w:b/>
              </w:rPr>
            </w:pPr>
            <w:r w:rsidRPr="00816230">
              <w:rPr>
                <w:b/>
              </w:rPr>
              <w:t>Function</w:t>
            </w:r>
            <w:r w:rsidRPr="00710A74">
              <w:rPr>
                <w:b/>
              </w:rPr>
              <w:t xml:space="preserve"> </w:t>
            </w:r>
          </w:p>
        </w:tc>
        <w:tc>
          <w:tcPr>
            <w:tcW w:w="2325" w:type="dxa"/>
            <w:shd w:val="clear" w:color="auto" w:fill="C6D9F1" w:themeFill="text2" w:themeFillTint="33"/>
            <w:vAlign w:val="bottom"/>
          </w:tcPr>
          <w:p w14:paraId="487BC408" w14:textId="30D716AE" w:rsidR="00C872C4" w:rsidRPr="00710A74" w:rsidRDefault="00C872C4" w:rsidP="00C872C4">
            <w:pPr>
              <w:rPr>
                <w:b/>
              </w:rPr>
            </w:pPr>
            <w:r w:rsidRPr="00816230">
              <w:rPr>
                <w:b/>
              </w:rPr>
              <w:t xml:space="preserve">Provider </w:t>
            </w:r>
          </w:p>
        </w:tc>
        <w:tc>
          <w:tcPr>
            <w:tcW w:w="1909" w:type="dxa"/>
            <w:shd w:val="clear" w:color="auto" w:fill="C6D9F1" w:themeFill="text2" w:themeFillTint="33"/>
            <w:vAlign w:val="bottom"/>
          </w:tcPr>
          <w:p w14:paraId="3F061FE9" w14:textId="6E988403" w:rsidR="00C872C4" w:rsidRPr="00710A74" w:rsidRDefault="00C872C4">
            <w:pPr>
              <w:rPr>
                <w:b/>
              </w:rPr>
            </w:pPr>
            <w:r w:rsidRPr="00816230">
              <w:rPr>
                <w:b/>
              </w:rPr>
              <w:t>Contact Information</w:t>
            </w:r>
          </w:p>
        </w:tc>
      </w:tr>
      <w:tr w:rsidR="00C872C4" w14:paraId="720ED606" w14:textId="6902F07A" w:rsidTr="00710A74">
        <w:tc>
          <w:tcPr>
            <w:tcW w:w="2188" w:type="dxa"/>
          </w:tcPr>
          <w:p w14:paraId="0751CF11" w14:textId="77777777" w:rsidR="00C872C4" w:rsidRDefault="00C872C4"/>
        </w:tc>
        <w:tc>
          <w:tcPr>
            <w:tcW w:w="2208" w:type="dxa"/>
          </w:tcPr>
          <w:p w14:paraId="68816F34" w14:textId="77777777" w:rsidR="00C872C4" w:rsidRDefault="00C872C4"/>
        </w:tc>
        <w:tc>
          <w:tcPr>
            <w:tcW w:w="2325" w:type="dxa"/>
          </w:tcPr>
          <w:p w14:paraId="4894084A" w14:textId="77777777" w:rsidR="00C872C4" w:rsidRDefault="00C872C4"/>
        </w:tc>
        <w:tc>
          <w:tcPr>
            <w:tcW w:w="1909" w:type="dxa"/>
          </w:tcPr>
          <w:p w14:paraId="30D0796C" w14:textId="77777777" w:rsidR="00C872C4" w:rsidRDefault="00C872C4"/>
        </w:tc>
      </w:tr>
      <w:tr w:rsidR="00C872C4" w14:paraId="7134373A" w14:textId="48CEFCCD" w:rsidTr="00710A74">
        <w:tc>
          <w:tcPr>
            <w:tcW w:w="2188" w:type="dxa"/>
          </w:tcPr>
          <w:p w14:paraId="3E358789" w14:textId="77777777" w:rsidR="00C872C4" w:rsidRDefault="00C872C4"/>
        </w:tc>
        <w:tc>
          <w:tcPr>
            <w:tcW w:w="2208" w:type="dxa"/>
          </w:tcPr>
          <w:p w14:paraId="269D6737" w14:textId="77777777" w:rsidR="00C872C4" w:rsidRDefault="00C872C4"/>
        </w:tc>
        <w:tc>
          <w:tcPr>
            <w:tcW w:w="2325" w:type="dxa"/>
          </w:tcPr>
          <w:p w14:paraId="7F8D77A7" w14:textId="77777777" w:rsidR="00C872C4" w:rsidRDefault="00C872C4"/>
        </w:tc>
        <w:tc>
          <w:tcPr>
            <w:tcW w:w="1909" w:type="dxa"/>
          </w:tcPr>
          <w:p w14:paraId="47C512C6" w14:textId="77777777" w:rsidR="00C872C4" w:rsidRDefault="00C872C4"/>
        </w:tc>
      </w:tr>
      <w:tr w:rsidR="00C872C4" w14:paraId="6A3CF252" w14:textId="6E6E08A6" w:rsidTr="00710A74">
        <w:tc>
          <w:tcPr>
            <w:tcW w:w="2188" w:type="dxa"/>
          </w:tcPr>
          <w:p w14:paraId="7B37AC1F" w14:textId="77777777" w:rsidR="00C872C4" w:rsidRDefault="00C872C4"/>
        </w:tc>
        <w:tc>
          <w:tcPr>
            <w:tcW w:w="2208" w:type="dxa"/>
          </w:tcPr>
          <w:p w14:paraId="21D30B70" w14:textId="77777777" w:rsidR="00C872C4" w:rsidRDefault="00C872C4"/>
        </w:tc>
        <w:tc>
          <w:tcPr>
            <w:tcW w:w="2325" w:type="dxa"/>
          </w:tcPr>
          <w:p w14:paraId="386A8A00" w14:textId="77777777" w:rsidR="00C872C4" w:rsidRDefault="00C872C4"/>
        </w:tc>
        <w:tc>
          <w:tcPr>
            <w:tcW w:w="1909" w:type="dxa"/>
          </w:tcPr>
          <w:p w14:paraId="0E4EB687" w14:textId="77777777" w:rsidR="00C872C4" w:rsidRDefault="00C872C4"/>
        </w:tc>
      </w:tr>
      <w:tr w:rsidR="00C872C4" w14:paraId="2A06925D" w14:textId="7CBD1402" w:rsidTr="00710A74">
        <w:tc>
          <w:tcPr>
            <w:tcW w:w="2188" w:type="dxa"/>
          </w:tcPr>
          <w:p w14:paraId="3F292934" w14:textId="77777777" w:rsidR="00C872C4" w:rsidRDefault="00C872C4"/>
        </w:tc>
        <w:tc>
          <w:tcPr>
            <w:tcW w:w="2208" w:type="dxa"/>
          </w:tcPr>
          <w:p w14:paraId="291E7B92" w14:textId="77777777" w:rsidR="00C872C4" w:rsidRDefault="00C872C4"/>
        </w:tc>
        <w:tc>
          <w:tcPr>
            <w:tcW w:w="2325" w:type="dxa"/>
          </w:tcPr>
          <w:p w14:paraId="1177550D" w14:textId="77777777" w:rsidR="00C872C4" w:rsidRDefault="00C872C4"/>
        </w:tc>
        <w:tc>
          <w:tcPr>
            <w:tcW w:w="1909" w:type="dxa"/>
          </w:tcPr>
          <w:p w14:paraId="7CB58F0D" w14:textId="77777777" w:rsidR="00C872C4" w:rsidRDefault="00C872C4"/>
        </w:tc>
      </w:tr>
      <w:tr w:rsidR="00C872C4" w14:paraId="338B8E51" w14:textId="5C3DEF84" w:rsidTr="00710A74">
        <w:tc>
          <w:tcPr>
            <w:tcW w:w="2188" w:type="dxa"/>
          </w:tcPr>
          <w:p w14:paraId="5929CDEE" w14:textId="77777777" w:rsidR="00C872C4" w:rsidRDefault="00C872C4"/>
        </w:tc>
        <w:tc>
          <w:tcPr>
            <w:tcW w:w="2208" w:type="dxa"/>
          </w:tcPr>
          <w:p w14:paraId="33CDFCA0" w14:textId="77777777" w:rsidR="00C872C4" w:rsidRDefault="00C872C4"/>
        </w:tc>
        <w:tc>
          <w:tcPr>
            <w:tcW w:w="2325" w:type="dxa"/>
          </w:tcPr>
          <w:p w14:paraId="006165D0" w14:textId="77777777" w:rsidR="00C872C4" w:rsidRDefault="00C872C4"/>
        </w:tc>
        <w:tc>
          <w:tcPr>
            <w:tcW w:w="1909" w:type="dxa"/>
          </w:tcPr>
          <w:p w14:paraId="4F1A764A" w14:textId="77777777" w:rsidR="00C872C4" w:rsidRDefault="00C872C4"/>
        </w:tc>
      </w:tr>
    </w:tbl>
    <w:p w14:paraId="754C1590" w14:textId="77777777" w:rsidR="00C934ED" w:rsidRDefault="00C934ED"/>
    <w:p w14:paraId="02E42389" w14:textId="14F1E6BC" w:rsidR="00C934ED" w:rsidRDefault="00B01A0B">
      <w:r>
        <w:lastRenderedPageBreak/>
        <w:t xml:space="preserve">Our </w:t>
      </w:r>
      <w:r w:rsidR="00963590">
        <w:t>County</w:t>
      </w:r>
      <w:r w:rsidR="00C934ED">
        <w:t xml:space="preserve"> </w:t>
      </w:r>
      <w:r>
        <w:t xml:space="preserve">establishes </w:t>
      </w:r>
      <w:r w:rsidR="00C934ED">
        <w:t xml:space="preserve">and </w:t>
      </w:r>
      <w:r>
        <w:t xml:space="preserve">maintains </w:t>
      </w:r>
      <w:r w:rsidR="00C934ED">
        <w:t xml:space="preserve">our business relationships with our customers and </w:t>
      </w:r>
      <w:r w:rsidR="007C47EE">
        <w:t>performs the</w:t>
      </w:r>
      <w:r w:rsidR="00C934ED">
        <w:t xml:space="preserve"> mission critical functions of order taking [</w:t>
      </w:r>
      <w:r w:rsidR="00C934ED" w:rsidRPr="003232AE">
        <w:t>and]</w:t>
      </w:r>
      <w:r w:rsidR="00C934ED">
        <w:t xml:space="preserve"> entry [</w:t>
      </w:r>
      <w:r w:rsidR="00C934ED" w:rsidRPr="003232AE">
        <w:t>and execution</w:t>
      </w:r>
      <w:r w:rsidR="00C934ED">
        <w:t xml:space="preserve">]. Our clearing </w:t>
      </w:r>
      <w:r w:rsidR="00963590">
        <w:t>County</w:t>
      </w:r>
      <w:r w:rsidR="00C934ED">
        <w:t xml:space="preserve"> provides, through contract, the [</w:t>
      </w:r>
      <w:r w:rsidR="00C934ED" w:rsidRPr="003232AE">
        <w:t>execution,</w:t>
      </w:r>
      <w:r w:rsidR="00C934ED">
        <w:t xml:space="preserve">] comparison, allocation, clearance and settlement of securities transactions, maintenance of customer accounts, access to customer accounts and the delivery of funds and securities.  </w:t>
      </w:r>
    </w:p>
    <w:p w14:paraId="0533F9BE" w14:textId="77777777" w:rsidR="00C934ED" w:rsidRDefault="00C934ED"/>
    <w:p w14:paraId="46E06D03" w14:textId="22FECEAF" w:rsidR="007C47EE" w:rsidRDefault="007C47EE">
      <w:r>
        <w:t>[</w:t>
      </w:r>
      <w:r w:rsidRPr="003232AE">
        <w:t xml:space="preserve">In the event that our </w:t>
      </w:r>
      <w:r w:rsidR="00963590">
        <w:t>County</w:t>
      </w:r>
      <w:r w:rsidRPr="003232AE">
        <w:t xml:space="preserve">’s BCP is executed, our clearing </w:t>
      </w:r>
      <w:r w:rsidR="00963590">
        <w:t>County</w:t>
      </w:r>
      <w:r w:rsidRPr="003232AE">
        <w:t xml:space="preserve"> contract provides that our clearing </w:t>
      </w:r>
      <w:r w:rsidR="00963590">
        <w:t>County</w:t>
      </w:r>
      <w:r w:rsidRPr="003232AE">
        <w:t xml:space="preserve"> will [provide a description of any services that will be provided by the clearing </w:t>
      </w:r>
      <w:r w:rsidR="00963590">
        <w:t>County</w:t>
      </w:r>
      <w:r w:rsidRPr="003232AE">
        <w:t xml:space="preserve"> when the BCP is executed, such as calls from customers to the </w:t>
      </w:r>
      <w:r w:rsidR="00963590">
        <w:t>County</w:t>
      </w:r>
      <w:r w:rsidRPr="003232AE">
        <w:t xml:space="preserve">’s main office will instead be directed to the clearing </w:t>
      </w:r>
      <w:r w:rsidR="00963590">
        <w:t>County</w:t>
      </w:r>
      <w:r w:rsidR="002021F4" w:rsidRPr="003232AE">
        <w:t xml:space="preserve"> or customers will be instructed to place orders directly with the clearing </w:t>
      </w:r>
      <w:r w:rsidR="00963590">
        <w:t>County</w:t>
      </w:r>
      <w:r>
        <w:t>.]</w:t>
      </w:r>
    </w:p>
    <w:p w14:paraId="39277AB2" w14:textId="77777777" w:rsidR="007C47EE" w:rsidRDefault="007C47EE"/>
    <w:p w14:paraId="36009FA1" w14:textId="25EB272E" w:rsidR="00C934ED" w:rsidRDefault="00C934ED">
      <w:r>
        <w:t xml:space="preserve">Our clearing </w:t>
      </w:r>
      <w:r w:rsidR="00963590">
        <w:t>County</w:t>
      </w:r>
      <w:r>
        <w:t xml:space="preserve"> contract provides that our clearing </w:t>
      </w:r>
      <w:r w:rsidR="00963590">
        <w:t>County</w:t>
      </w:r>
      <w:r>
        <w:t xml:space="preserve"> will maintain a business continuity plan and the capacity to execute that plan. Our clearing </w:t>
      </w:r>
      <w:r w:rsidR="00963590">
        <w:t>County</w:t>
      </w:r>
      <w:r>
        <w:t xml:space="preserve"> represents that it will advise us of any material changes to its plan that might affect our business</w:t>
      </w:r>
      <w:r w:rsidR="002021F4">
        <w:t xml:space="preserve"> or customers</w:t>
      </w:r>
      <w:r>
        <w:t xml:space="preserve"> [</w:t>
      </w:r>
      <w:r w:rsidRPr="003232AE">
        <w:t xml:space="preserve">and </w:t>
      </w:r>
      <w:r w:rsidR="00FA02F4" w:rsidRPr="003232AE">
        <w:t xml:space="preserve">has </w:t>
      </w:r>
      <w:r w:rsidRPr="003232AE">
        <w:t>presented us with an executive summary of its plan, which is attached</w:t>
      </w:r>
      <w:r>
        <w:t>].</w:t>
      </w:r>
      <w:r w:rsidR="000C2314">
        <w:t xml:space="preserve"> </w:t>
      </w:r>
      <w:r>
        <w:t xml:space="preserve">In the event our clearing </w:t>
      </w:r>
      <w:r w:rsidR="00963590">
        <w:t>County</w:t>
      </w:r>
      <w:r>
        <w:t xml:space="preserve"> executes its plan, it represents that it will notify us of such execution and provide us equal access to services as its other customers. If we reasonably determine that our clearing </w:t>
      </w:r>
      <w:r w:rsidR="00963590">
        <w:t>County</w:t>
      </w:r>
      <w:r>
        <w:t xml:space="preserve"> has not or cannot put its plan in place quickly enough to meet our needs, or is otherwise unable to provide access to such services, our clearing </w:t>
      </w:r>
      <w:r w:rsidR="00963590">
        <w:t>County</w:t>
      </w:r>
      <w:r>
        <w:t xml:space="preserve"> represents that it will assist us in seeking services from an alternative source.  </w:t>
      </w:r>
    </w:p>
    <w:p w14:paraId="50F8B766" w14:textId="77777777" w:rsidR="00C934ED" w:rsidRDefault="00C934ED"/>
    <w:p w14:paraId="70A09F64" w14:textId="0F884F37" w:rsidR="00C934ED" w:rsidRDefault="00C934ED">
      <w:pPr>
        <w:rPr>
          <w:i/>
          <w:iCs/>
        </w:rPr>
      </w:pPr>
      <w:r>
        <w:t xml:space="preserve">Our clearing </w:t>
      </w:r>
      <w:r w:rsidR="00963590">
        <w:t>County</w:t>
      </w:r>
      <w:r>
        <w:t xml:space="preserve"> represents that it backs up our records at a remote [</w:t>
      </w:r>
      <w:r w:rsidRPr="003232AE">
        <w:t xml:space="preserve">or, </w:t>
      </w:r>
      <w:r w:rsidRPr="00710A74">
        <w:rPr>
          <w:iCs/>
        </w:rPr>
        <w:t>preferably,</w:t>
      </w:r>
      <w:r w:rsidRPr="003232AE">
        <w:t xml:space="preserve"> out of region</w:t>
      </w:r>
      <w:r>
        <w:t xml:space="preserve">] site. Our clearing </w:t>
      </w:r>
      <w:r w:rsidR="00963590">
        <w:t>County</w:t>
      </w:r>
      <w:r>
        <w:t xml:space="preserve"> represents that it operates a back-up operating facility in a geographically separate area with the capability to conduct the same volume of business as its primary site. Our clearing </w:t>
      </w:r>
      <w:r w:rsidR="00963590">
        <w:t>County</w:t>
      </w:r>
      <w:r>
        <w:t xml:space="preserve"> has also con</w:t>
      </w:r>
      <w:r w:rsidR="00963590">
        <w:t>County</w:t>
      </w:r>
      <w:r>
        <w:t>ed the effectiveness of its back-up arrangements to recover from a wide scale disruption by testing</w:t>
      </w:r>
      <w:r w:rsidR="00726243">
        <w:t xml:space="preserve">, </w:t>
      </w:r>
      <w:r>
        <w:t>[and it has con</w:t>
      </w:r>
      <w:r w:rsidR="00963590">
        <w:t>County</w:t>
      </w:r>
      <w:r>
        <w:t>ed that it tests its back-up arrangements every</w:t>
      </w:r>
      <w:r>
        <w:rPr>
          <w:i/>
          <w:iCs/>
        </w:rPr>
        <w:t xml:space="preserve"> </w:t>
      </w:r>
      <w:r w:rsidRPr="00710A74">
        <w:rPr>
          <w:iCs/>
        </w:rPr>
        <w:t>time period</w:t>
      </w:r>
      <w:r w:rsidR="005B6425" w:rsidRPr="005B6425">
        <w:rPr>
          <w:iCs/>
        </w:rPr>
        <w:t>]</w:t>
      </w:r>
      <w:r>
        <w:rPr>
          <w:i/>
          <w:iCs/>
        </w:rPr>
        <w:t xml:space="preserve">. </w:t>
      </w:r>
    </w:p>
    <w:p w14:paraId="5D0FA946" w14:textId="77777777" w:rsidR="00C934ED" w:rsidRDefault="00C934ED">
      <w:pPr>
        <w:rPr>
          <w:i/>
          <w:iCs/>
        </w:rPr>
      </w:pPr>
    </w:p>
    <w:p w14:paraId="3CDDDCA3" w14:textId="54687C33" w:rsidR="00C934ED" w:rsidRDefault="00C934ED">
      <w:pPr>
        <w:rPr>
          <w:color w:val="454545"/>
          <w:szCs w:val="20"/>
        </w:rPr>
      </w:pPr>
      <w:r>
        <w:t xml:space="preserve">Recovery-time objectives provide concrete goals to plan for and test against. They are not, however, hard and fast deadlines that must be met in every emergency situation, and various external factors surrounding a disruption, such as time of day, scope of disruption and status of critical infrastructure—particularly telecommunications—can affect actual recovery times. Recovery refers to the restoration of clearing and settlement activities after a wide-scale disruption; resumption refers to the capacity to accept and process new transactions and payments after a wide-scale disruption. Our clearing </w:t>
      </w:r>
      <w:r w:rsidR="00963590">
        <w:t>County</w:t>
      </w:r>
      <w:r>
        <w:t xml:space="preserve"> has the following SBD recovery time and resumption objectives: recovery time period of </w:t>
      </w:r>
      <w:r w:rsidR="00515C0A">
        <w:rPr>
          <w:iCs/>
        </w:rPr>
        <w:t>[</w:t>
      </w:r>
      <w:r>
        <w:rPr>
          <w:i/>
          <w:iCs/>
        </w:rPr>
        <w:t xml:space="preserve">e.g., </w:t>
      </w:r>
      <w:r w:rsidRPr="00710A74">
        <w:rPr>
          <w:iCs/>
        </w:rPr>
        <w:t>within 4 hours</w:t>
      </w:r>
      <w:r w:rsidR="00515C0A">
        <w:rPr>
          <w:iCs/>
        </w:rPr>
        <w:t>]</w:t>
      </w:r>
      <w:r>
        <w:rPr>
          <w:i/>
          <w:iCs/>
        </w:rPr>
        <w:t xml:space="preserve">; </w:t>
      </w:r>
      <w:r>
        <w:t xml:space="preserve">and resumption time of </w:t>
      </w:r>
      <w:r w:rsidR="00515C0A">
        <w:rPr>
          <w:iCs/>
        </w:rPr>
        <w:t>[</w:t>
      </w:r>
      <w:r>
        <w:rPr>
          <w:i/>
          <w:iCs/>
        </w:rPr>
        <w:t xml:space="preserve">e.g., </w:t>
      </w:r>
      <w:r w:rsidRPr="00710A74">
        <w:rPr>
          <w:iCs/>
        </w:rPr>
        <w:t>within the same business day</w:t>
      </w:r>
      <w:r w:rsidRPr="003232AE">
        <w:t>].</w:t>
      </w:r>
      <w:r>
        <w:t xml:space="preserve"> </w:t>
      </w:r>
    </w:p>
    <w:p w14:paraId="26663CDF" w14:textId="77777777" w:rsidR="00C934ED" w:rsidRDefault="00C934ED"/>
    <w:p w14:paraId="3B3A00D1" w14:textId="48F5ED39" w:rsidR="00D86B58" w:rsidRPr="00EE28B0" w:rsidRDefault="00D86B58" w:rsidP="00D86B58">
      <w:r>
        <w:t>[</w:t>
      </w:r>
      <w:r w:rsidRPr="00710A74">
        <w:t>Name</w:t>
      </w:r>
      <w:r>
        <w:t xml:space="preserve">] will periodically review our clearing </w:t>
      </w:r>
      <w:r w:rsidR="00963590">
        <w:t>County</w:t>
      </w:r>
      <w:r>
        <w:t xml:space="preserve">’s capabilities to perform the mission critical functions the clearing </w:t>
      </w:r>
      <w:r w:rsidR="00963590">
        <w:t>County</w:t>
      </w:r>
      <w:r>
        <w:t xml:space="preserve"> has contracted to perform for our </w:t>
      </w:r>
      <w:r w:rsidR="00963590">
        <w:t>County</w:t>
      </w:r>
      <w:r w:rsidR="00A0743D">
        <w:t>.</w:t>
      </w:r>
    </w:p>
    <w:p w14:paraId="5AA6356F" w14:textId="77777777" w:rsidR="00D86B58" w:rsidRDefault="00D86B58"/>
    <w:p w14:paraId="355CD478" w14:textId="48C9CCCF" w:rsidR="00C934ED" w:rsidRDefault="00C934ED" w:rsidP="00027FC7">
      <w:pPr>
        <w:pStyle w:val="Heading2"/>
        <w:numPr>
          <w:ilvl w:val="1"/>
          <w:numId w:val="2"/>
        </w:numPr>
        <w:tabs>
          <w:tab w:val="clear" w:pos="1080"/>
        </w:tabs>
        <w:spacing w:after="0"/>
        <w:ind w:left="1440" w:hanging="720"/>
      </w:pPr>
      <w:r>
        <w:t xml:space="preserve">Our </w:t>
      </w:r>
      <w:r w:rsidR="00963590">
        <w:t>County</w:t>
      </w:r>
      <w:r>
        <w:t>’s Mission Critical Systems</w:t>
      </w:r>
    </w:p>
    <w:p w14:paraId="24CD938B" w14:textId="77777777" w:rsidR="00027FC7" w:rsidRPr="00027FC7" w:rsidRDefault="00027FC7" w:rsidP="00027FC7">
      <w:pPr>
        <w:pStyle w:val="Heading2"/>
        <w:numPr>
          <w:ilvl w:val="0"/>
          <w:numId w:val="0"/>
        </w:numPr>
        <w:spacing w:after="0"/>
        <w:ind w:left="1440"/>
        <w:rPr>
          <w:sz w:val="24"/>
          <w:szCs w:val="24"/>
        </w:rPr>
      </w:pPr>
    </w:p>
    <w:p w14:paraId="454FBDB6" w14:textId="57214392" w:rsidR="00C934ED" w:rsidRPr="00027FC7" w:rsidRDefault="005C3715" w:rsidP="00027FC7">
      <w:pPr>
        <w:pStyle w:val="Heading3"/>
        <w:tabs>
          <w:tab w:val="clear" w:pos="1800"/>
        </w:tabs>
        <w:spacing w:after="0"/>
        <w:ind w:left="2160" w:hanging="720"/>
        <w:rPr>
          <w:b w:val="0"/>
          <w:bCs w:val="0"/>
        </w:rPr>
      </w:pPr>
      <w:r>
        <w:t>Court Records</w:t>
      </w:r>
    </w:p>
    <w:p w14:paraId="2231C7A9" w14:textId="77777777" w:rsidR="00027FC7" w:rsidRPr="00027FC7" w:rsidRDefault="00027FC7" w:rsidP="00027FC7">
      <w:pPr>
        <w:pStyle w:val="Heading3"/>
        <w:numPr>
          <w:ilvl w:val="0"/>
          <w:numId w:val="0"/>
        </w:numPr>
        <w:spacing w:after="0"/>
        <w:ind w:left="2160"/>
        <w:rPr>
          <w:b w:val="0"/>
          <w:bCs w:val="0"/>
        </w:rPr>
      </w:pPr>
    </w:p>
    <w:p w14:paraId="1F2DB8D9" w14:textId="5502AAD6" w:rsidR="00C934ED" w:rsidRDefault="00C934ED">
      <w:pPr>
        <w:rPr>
          <w:bCs/>
          <w:i/>
          <w:iCs/>
        </w:rPr>
      </w:pPr>
      <w:r>
        <w:rPr>
          <w:bCs/>
          <w:i/>
          <w:iCs/>
        </w:rPr>
        <w:t xml:space="preserve">Describe how your </w:t>
      </w:r>
      <w:r w:rsidR="00963590">
        <w:rPr>
          <w:bCs/>
          <w:i/>
          <w:iCs/>
        </w:rPr>
        <w:t>County</w:t>
      </w:r>
      <w:r>
        <w:rPr>
          <w:bCs/>
          <w:i/>
          <w:iCs/>
        </w:rPr>
        <w:t xml:space="preserve"> will handle order taking in the event of an SBD.</w:t>
      </w:r>
    </w:p>
    <w:p w14:paraId="38192C7B" w14:textId="77777777" w:rsidR="00C934ED" w:rsidRDefault="00C934ED">
      <w:pPr>
        <w:rPr>
          <w:bCs/>
          <w:i/>
          <w:iCs/>
        </w:rPr>
      </w:pPr>
    </w:p>
    <w:p w14:paraId="38CC47BF" w14:textId="6D3C471B" w:rsidR="00C934ED" w:rsidRDefault="00C934ED">
      <w:pPr>
        <w:rPr>
          <w:bCs/>
        </w:rPr>
      </w:pPr>
      <w:r>
        <w:rPr>
          <w:bCs/>
          <w:i/>
        </w:rPr>
        <w:t>TEXT EXAMPLE</w:t>
      </w:r>
      <w:r>
        <w:rPr>
          <w:bCs/>
        </w:rPr>
        <w:t>:</w:t>
      </w:r>
      <w:r w:rsidR="000C2314">
        <w:rPr>
          <w:bCs/>
        </w:rPr>
        <w:t xml:space="preserve"> </w:t>
      </w:r>
      <w:r>
        <w:rPr>
          <w:bCs/>
        </w:rPr>
        <w:t xml:space="preserve">Currently, our </w:t>
      </w:r>
      <w:r w:rsidR="00963590">
        <w:rPr>
          <w:bCs/>
        </w:rPr>
        <w:t>County</w:t>
      </w:r>
      <w:r>
        <w:rPr>
          <w:bCs/>
        </w:rPr>
        <w:t xml:space="preserve"> receives orders from customers via [</w:t>
      </w:r>
      <w:r w:rsidRPr="00710A74">
        <w:rPr>
          <w:bCs/>
          <w:iCs/>
        </w:rPr>
        <w:t>insert all that apply</w:t>
      </w:r>
      <w:r w:rsidR="00A0743D" w:rsidRPr="00710A74">
        <w:rPr>
          <w:bCs/>
          <w:iCs/>
        </w:rPr>
        <w:t xml:space="preserve"> </w:t>
      </w:r>
      <w:r w:rsidR="00FA02F4" w:rsidRPr="00710A74">
        <w:rPr>
          <w:bCs/>
        </w:rPr>
        <w:t>(</w:t>
      </w:r>
      <w:r w:rsidR="00FA02F4" w:rsidRPr="003232AE">
        <w:rPr>
          <w:bCs/>
          <w:i/>
        </w:rPr>
        <w:t>e.g.</w:t>
      </w:r>
      <w:r w:rsidR="00FA02F4" w:rsidRPr="00710A74">
        <w:rPr>
          <w:bCs/>
        </w:rPr>
        <w:t>,</w:t>
      </w:r>
      <w:r w:rsidR="005B6425" w:rsidRPr="00710A74">
        <w:rPr>
          <w:bCs/>
        </w:rPr>
        <w:t xml:space="preserve"> phone</w:t>
      </w:r>
      <w:r w:rsidR="00FA02F4" w:rsidRPr="00710A74">
        <w:rPr>
          <w:bCs/>
        </w:rPr>
        <w:t xml:space="preserve">, </w:t>
      </w:r>
      <w:r w:rsidR="005B6425" w:rsidRPr="00710A74">
        <w:rPr>
          <w:bCs/>
        </w:rPr>
        <w:t>fax</w:t>
      </w:r>
      <w:r w:rsidR="00FA02F4" w:rsidRPr="00710A74">
        <w:rPr>
          <w:bCs/>
        </w:rPr>
        <w:t xml:space="preserve">, </w:t>
      </w:r>
      <w:r w:rsidR="005B6425" w:rsidRPr="00710A74">
        <w:rPr>
          <w:bCs/>
        </w:rPr>
        <w:t>email</w:t>
      </w:r>
      <w:r w:rsidR="00FA02F4" w:rsidRPr="00710A74">
        <w:rPr>
          <w:bCs/>
        </w:rPr>
        <w:t xml:space="preserve">, </w:t>
      </w:r>
      <w:r w:rsidR="00A3107E" w:rsidRPr="00710A74">
        <w:rPr>
          <w:bCs/>
        </w:rPr>
        <w:t>w</w:t>
      </w:r>
      <w:r w:rsidR="005B6425" w:rsidRPr="00710A74">
        <w:rPr>
          <w:bCs/>
        </w:rPr>
        <w:t>ebsite at [</w:t>
      </w:r>
      <w:r w:rsidRPr="00710A74">
        <w:rPr>
          <w:bCs/>
          <w:iCs/>
        </w:rPr>
        <w:t>insert URL</w:t>
      </w:r>
      <w:r w:rsidR="005B6425" w:rsidRPr="00710A74">
        <w:rPr>
          <w:bCs/>
        </w:rPr>
        <w:t>]</w:t>
      </w:r>
      <w:r w:rsidR="00FA02F4" w:rsidRPr="00710A74">
        <w:rPr>
          <w:bCs/>
        </w:rPr>
        <w:t xml:space="preserve">, </w:t>
      </w:r>
      <w:r w:rsidR="005B6425" w:rsidRPr="00710A74">
        <w:rPr>
          <w:bCs/>
        </w:rPr>
        <w:t>in</w:t>
      </w:r>
      <w:r w:rsidR="00FA02F4" w:rsidRPr="00710A74">
        <w:rPr>
          <w:bCs/>
        </w:rPr>
        <w:t>-</w:t>
      </w:r>
      <w:r w:rsidR="005B6425" w:rsidRPr="00710A74">
        <w:rPr>
          <w:bCs/>
        </w:rPr>
        <w:t>person visits by the customer</w:t>
      </w:r>
      <w:r w:rsidR="00FA02F4" w:rsidRPr="00710A74">
        <w:rPr>
          <w:bCs/>
        </w:rPr>
        <w:t>, etc.)</w:t>
      </w:r>
      <w:r w:rsidR="008641D3">
        <w:rPr>
          <w:bCs/>
        </w:rPr>
        <w:t>]</w:t>
      </w:r>
      <w:r>
        <w:rPr>
          <w:bCs/>
        </w:rPr>
        <w:t>.</w:t>
      </w:r>
      <w:r w:rsidR="000C2314">
        <w:rPr>
          <w:bCs/>
        </w:rPr>
        <w:t xml:space="preserve"> </w:t>
      </w:r>
      <w:r>
        <w:rPr>
          <w:bCs/>
        </w:rPr>
        <w:t>During an SBD, we will continue to take orders through any of these methods that are available and reliable</w:t>
      </w:r>
      <w:r w:rsidR="00CA081F">
        <w:rPr>
          <w:bCs/>
        </w:rPr>
        <w:t>.</w:t>
      </w:r>
      <w:r>
        <w:rPr>
          <w:bCs/>
        </w:rPr>
        <w:t xml:space="preserve"> </w:t>
      </w:r>
      <w:r w:rsidR="00CA081F">
        <w:rPr>
          <w:bCs/>
        </w:rPr>
        <w:t>A</w:t>
      </w:r>
      <w:r>
        <w:rPr>
          <w:bCs/>
        </w:rPr>
        <w:t>s communications permit, we will inform our customers what alternative</w:t>
      </w:r>
      <w:r w:rsidR="00CA081F">
        <w:rPr>
          <w:bCs/>
        </w:rPr>
        <w:t xml:space="preserve"> methods are available for sending orders</w:t>
      </w:r>
      <w:r>
        <w:rPr>
          <w:bCs/>
        </w:rPr>
        <w:t>.</w:t>
      </w:r>
      <w:r w:rsidR="000C2314">
        <w:rPr>
          <w:bCs/>
        </w:rPr>
        <w:t xml:space="preserve"> </w:t>
      </w:r>
      <w:r>
        <w:rPr>
          <w:bCs/>
        </w:rPr>
        <w:t>Customers will be informed of alternatives by [</w:t>
      </w:r>
      <w:r w:rsidR="004A2D04" w:rsidRPr="003232AE">
        <w:rPr>
          <w:bCs/>
        </w:rPr>
        <w:t xml:space="preserve">phone, email or posting on the </w:t>
      </w:r>
      <w:r w:rsidR="00963590">
        <w:rPr>
          <w:bCs/>
        </w:rPr>
        <w:t>County</w:t>
      </w:r>
      <w:r w:rsidR="004A2D04" w:rsidRPr="003232AE">
        <w:rPr>
          <w:bCs/>
        </w:rPr>
        <w:t>’s website</w:t>
      </w:r>
      <w:r>
        <w:rPr>
          <w:bCs/>
        </w:rPr>
        <w:t>].</w:t>
      </w:r>
      <w:r w:rsidR="000C2314">
        <w:rPr>
          <w:bCs/>
        </w:rPr>
        <w:t xml:space="preserve"> </w:t>
      </w:r>
      <w:r>
        <w:rPr>
          <w:bCs/>
        </w:rPr>
        <w:t xml:space="preserve">If necessary, we will advise our customers to place orders directly with our clearing </w:t>
      </w:r>
      <w:r w:rsidR="00963590">
        <w:rPr>
          <w:bCs/>
        </w:rPr>
        <w:t>County</w:t>
      </w:r>
      <w:r>
        <w:rPr>
          <w:bCs/>
        </w:rPr>
        <w:t xml:space="preserve"> at [</w:t>
      </w:r>
      <w:r w:rsidRPr="00710A74">
        <w:rPr>
          <w:bCs/>
          <w:iCs/>
        </w:rPr>
        <w:t>insert</w:t>
      </w:r>
      <w:r w:rsidR="000A24FF" w:rsidRPr="00710A74">
        <w:rPr>
          <w:bCs/>
          <w:iCs/>
        </w:rPr>
        <w:t xml:space="preserve"> </w:t>
      </w:r>
      <w:r w:rsidR="00EA2C4A" w:rsidRPr="00710A74">
        <w:rPr>
          <w:bCs/>
          <w:iCs/>
        </w:rPr>
        <w:t xml:space="preserve">clearing </w:t>
      </w:r>
      <w:r w:rsidR="00963590">
        <w:rPr>
          <w:bCs/>
          <w:iCs/>
        </w:rPr>
        <w:t>County</w:t>
      </w:r>
      <w:r w:rsidR="00EA2C4A" w:rsidRPr="00710A74">
        <w:rPr>
          <w:bCs/>
          <w:iCs/>
        </w:rPr>
        <w:t xml:space="preserve"> contact information</w:t>
      </w:r>
      <w:r>
        <w:rPr>
          <w:bCs/>
        </w:rPr>
        <w:t>].</w:t>
      </w:r>
    </w:p>
    <w:p w14:paraId="0FE934CB" w14:textId="77777777" w:rsidR="00C934ED" w:rsidRPr="00027FC7" w:rsidRDefault="00C934ED">
      <w:pPr>
        <w:rPr>
          <w:bCs/>
        </w:rPr>
      </w:pPr>
    </w:p>
    <w:p w14:paraId="009B1163" w14:textId="5D600A40" w:rsidR="00C934ED" w:rsidRDefault="005C3715" w:rsidP="006C28C2">
      <w:pPr>
        <w:pStyle w:val="Heading3"/>
        <w:tabs>
          <w:tab w:val="clear" w:pos="1800"/>
        </w:tabs>
        <w:ind w:left="2160" w:hanging="720"/>
        <w:rPr>
          <w:bCs w:val="0"/>
        </w:rPr>
      </w:pPr>
      <w:r>
        <w:t xml:space="preserve">911 </w:t>
      </w:r>
      <w:r w:rsidR="00B42D12">
        <w:t xml:space="preserve">Dispatch </w:t>
      </w:r>
      <w:r>
        <w:t>Systems</w:t>
      </w:r>
    </w:p>
    <w:p w14:paraId="57F6BAEF" w14:textId="34C2AB7A" w:rsidR="00C934ED" w:rsidRDefault="00C934ED">
      <w:pPr>
        <w:rPr>
          <w:bCs/>
          <w:i/>
          <w:iCs/>
        </w:rPr>
      </w:pPr>
      <w:r>
        <w:rPr>
          <w:bCs/>
          <w:i/>
          <w:iCs/>
        </w:rPr>
        <w:t xml:space="preserve">Describe your </w:t>
      </w:r>
      <w:r w:rsidR="00963590">
        <w:rPr>
          <w:bCs/>
          <w:i/>
          <w:iCs/>
        </w:rPr>
        <w:t>County</w:t>
      </w:r>
      <w:r>
        <w:rPr>
          <w:bCs/>
          <w:i/>
          <w:iCs/>
        </w:rPr>
        <w:t>’s procedures if an SBD prevents it from entering orders received from customers.</w:t>
      </w:r>
    </w:p>
    <w:p w14:paraId="2F6E56F7" w14:textId="77777777" w:rsidR="00C934ED" w:rsidRDefault="00C934ED" w:rsidP="00027FC7">
      <w:pPr>
        <w:rPr>
          <w:bCs/>
        </w:rPr>
      </w:pPr>
    </w:p>
    <w:p w14:paraId="370B1580" w14:textId="78408891" w:rsidR="00C934ED" w:rsidRDefault="00C934ED">
      <w:pPr>
        <w:rPr>
          <w:bCs/>
          <w:i/>
          <w:iCs/>
        </w:rPr>
      </w:pPr>
      <w:r>
        <w:rPr>
          <w:bCs/>
          <w:i/>
        </w:rPr>
        <w:t>TEXT EXAMPLE</w:t>
      </w:r>
      <w:r>
        <w:rPr>
          <w:bCs/>
        </w:rPr>
        <w:t>:</w:t>
      </w:r>
      <w:r w:rsidR="000C2314">
        <w:rPr>
          <w:bCs/>
        </w:rPr>
        <w:t xml:space="preserve"> </w:t>
      </w:r>
      <w:r>
        <w:rPr>
          <w:bCs/>
        </w:rPr>
        <w:t xml:space="preserve">Currently, our </w:t>
      </w:r>
      <w:r w:rsidR="00963590">
        <w:rPr>
          <w:bCs/>
        </w:rPr>
        <w:t>County</w:t>
      </w:r>
      <w:r>
        <w:rPr>
          <w:bCs/>
        </w:rPr>
        <w:t xml:space="preserve"> </w:t>
      </w:r>
      <w:r w:rsidR="007624FB">
        <w:rPr>
          <w:bCs/>
        </w:rPr>
        <w:t>[</w:t>
      </w:r>
      <w:r w:rsidR="007624FB" w:rsidRPr="003232AE">
        <w:rPr>
          <w:bCs/>
        </w:rPr>
        <w:t>places</w:t>
      </w:r>
      <w:r w:rsidR="008A5564" w:rsidRPr="003232AE">
        <w:rPr>
          <w:bCs/>
        </w:rPr>
        <w:t xml:space="preserve"> customer orders through [insert name of system]</w:t>
      </w:r>
      <w:r w:rsidR="007624FB" w:rsidRPr="003232AE">
        <w:rPr>
          <w:bCs/>
        </w:rPr>
        <w:t xml:space="preserve"> or </w:t>
      </w:r>
      <w:r w:rsidR="008A5564" w:rsidRPr="003232AE">
        <w:rPr>
          <w:bCs/>
        </w:rPr>
        <w:t>records customer orders [</w:t>
      </w:r>
      <w:r w:rsidRPr="003232AE">
        <w:rPr>
          <w:bCs/>
        </w:rPr>
        <w:t xml:space="preserve">on paper </w:t>
      </w:r>
      <w:r w:rsidR="008A5564" w:rsidRPr="003232AE">
        <w:rPr>
          <w:bCs/>
        </w:rPr>
        <w:t xml:space="preserve">or </w:t>
      </w:r>
      <w:r w:rsidRPr="003232AE">
        <w:rPr>
          <w:bCs/>
        </w:rPr>
        <w:t>electronically</w:t>
      </w:r>
      <w:r w:rsidR="008A5564" w:rsidRPr="003232AE">
        <w:rPr>
          <w:bCs/>
        </w:rPr>
        <w:t>]</w:t>
      </w:r>
      <w:r w:rsidRPr="003232AE">
        <w:rPr>
          <w:bCs/>
        </w:rPr>
        <w:t xml:space="preserve"> and </w:t>
      </w:r>
      <w:r w:rsidR="008A5564" w:rsidRPr="003232AE">
        <w:rPr>
          <w:bCs/>
        </w:rPr>
        <w:t xml:space="preserve">sends </w:t>
      </w:r>
      <w:r w:rsidRPr="003232AE">
        <w:rPr>
          <w:bCs/>
        </w:rPr>
        <w:t xml:space="preserve">them to our clearing </w:t>
      </w:r>
      <w:r w:rsidR="00963590">
        <w:rPr>
          <w:bCs/>
        </w:rPr>
        <w:t>County</w:t>
      </w:r>
      <w:r w:rsidRPr="003232AE">
        <w:rPr>
          <w:bCs/>
        </w:rPr>
        <w:t xml:space="preserve"> </w:t>
      </w:r>
      <w:r w:rsidR="008A5564" w:rsidRPr="003232AE">
        <w:rPr>
          <w:bCs/>
        </w:rPr>
        <w:t>[</w:t>
      </w:r>
      <w:r w:rsidRPr="003232AE">
        <w:rPr>
          <w:bCs/>
        </w:rPr>
        <w:t>electronically or telephonically</w:t>
      </w:r>
      <w:r w:rsidR="008A5564" w:rsidRPr="003232AE">
        <w:rPr>
          <w:bCs/>
        </w:rPr>
        <w:t>]</w:t>
      </w:r>
      <w:r w:rsidR="007624FB">
        <w:rPr>
          <w:bCs/>
        </w:rPr>
        <w:t>]</w:t>
      </w:r>
      <w:r>
        <w:rPr>
          <w:bCs/>
        </w:rPr>
        <w:t>.</w:t>
      </w:r>
      <w:r w:rsidR="000C2314">
        <w:rPr>
          <w:bCs/>
        </w:rPr>
        <w:t xml:space="preserve"> </w:t>
      </w:r>
      <w:r>
        <w:rPr>
          <w:bCs/>
        </w:rPr>
        <w:t xml:space="preserve">We have contacted </w:t>
      </w:r>
      <w:r w:rsidR="00515C0A">
        <w:rPr>
          <w:bCs/>
          <w:iCs/>
        </w:rPr>
        <w:t>[</w:t>
      </w:r>
      <w:r w:rsidRPr="00710A74">
        <w:rPr>
          <w:bCs/>
          <w:iCs/>
        </w:rPr>
        <w:t xml:space="preserve">name of </w:t>
      </w:r>
      <w:r w:rsidR="008A5564" w:rsidRPr="00710A74">
        <w:rPr>
          <w:bCs/>
          <w:iCs/>
        </w:rPr>
        <w:t xml:space="preserve">customer order </w:t>
      </w:r>
      <w:r w:rsidRPr="00710A74">
        <w:rPr>
          <w:bCs/>
          <w:iCs/>
        </w:rPr>
        <w:t>system(s)</w:t>
      </w:r>
      <w:r w:rsidR="00515C0A">
        <w:rPr>
          <w:bCs/>
          <w:iCs/>
        </w:rPr>
        <w:t>]</w:t>
      </w:r>
      <w:r>
        <w:rPr>
          <w:bCs/>
        </w:rPr>
        <w:t xml:space="preserve"> and were told that, under its BCP, we can expect </w:t>
      </w:r>
      <w:r w:rsidR="00515C0A">
        <w:rPr>
          <w:bCs/>
          <w:iCs/>
        </w:rPr>
        <w:t>[</w:t>
      </w:r>
      <w:r w:rsidRPr="00710A74">
        <w:rPr>
          <w:bCs/>
          <w:iCs/>
        </w:rPr>
        <w:t>services</w:t>
      </w:r>
      <w:r w:rsidR="00515C0A">
        <w:rPr>
          <w:bCs/>
          <w:iCs/>
        </w:rPr>
        <w:t>]</w:t>
      </w:r>
      <w:r>
        <w:rPr>
          <w:bCs/>
        </w:rPr>
        <w:t xml:space="preserve"> within </w:t>
      </w:r>
      <w:r w:rsidR="00515C0A">
        <w:rPr>
          <w:bCs/>
          <w:iCs/>
        </w:rPr>
        <w:t>[</w:t>
      </w:r>
      <w:r w:rsidRPr="00710A74">
        <w:rPr>
          <w:bCs/>
          <w:iCs/>
        </w:rPr>
        <w:t>time</w:t>
      </w:r>
      <w:r w:rsidR="00515C0A">
        <w:rPr>
          <w:bCs/>
          <w:iCs/>
        </w:rPr>
        <w:t>]</w:t>
      </w:r>
      <w:r>
        <w:rPr>
          <w:bCs/>
          <w:i/>
          <w:iCs/>
        </w:rPr>
        <w:t>.</w:t>
      </w:r>
    </w:p>
    <w:p w14:paraId="3F44AC30" w14:textId="77777777" w:rsidR="00C934ED" w:rsidRDefault="00C934ED">
      <w:pPr>
        <w:rPr>
          <w:bCs/>
        </w:rPr>
      </w:pPr>
    </w:p>
    <w:p w14:paraId="488E7B5D" w14:textId="1A233D52" w:rsidR="00C934ED" w:rsidRDefault="00C934ED">
      <w:pPr>
        <w:rPr>
          <w:bCs/>
        </w:rPr>
      </w:pPr>
      <w:r>
        <w:rPr>
          <w:bCs/>
        </w:rPr>
        <w:t>In the event of an SBD</w:t>
      </w:r>
      <w:r w:rsidR="008A5564">
        <w:rPr>
          <w:bCs/>
        </w:rPr>
        <w:t xml:space="preserve"> impacting order entry</w:t>
      </w:r>
      <w:r>
        <w:rPr>
          <w:bCs/>
        </w:rPr>
        <w:t xml:space="preserve">, we will enter and send </w:t>
      </w:r>
      <w:r w:rsidR="008A5564">
        <w:rPr>
          <w:bCs/>
        </w:rPr>
        <w:t xml:space="preserve">orders </w:t>
      </w:r>
      <w:r>
        <w:rPr>
          <w:bCs/>
        </w:rPr>
        <w:t xml:space="preserve">to our clearing </w:t>
      </w:r>
      <w:r w:rsidR="00963590">
        <w:rPr>
          <w:bCs/>
        </w:rPr>
        <w:t>County</w:t>
      </w:r>
      <w:r>
        <w:rPr>
          <w:bCs/>
        </w:rPr>
        <w:t xml:space="preserve"> by the fastest alternative means available, which include [</w:t>
      </w:r>
      <w:r w:rsidRPr="00710A74">
        <w:rPr>
          <w:bCs/>
          <w:iCs/>
        </w:rPr>
        <w:t>inser</w:t>
      </w:r>
      <w:r w:rsidR="00EA2C4A" w:rsidRPr="00710A74">
        <w:rPr>
          <w:bCs/>
          <w:iCs/>
        </w:rPr>
        <w:t>t means you</w:t>
      </w:r>
      <w:r w:rsidR="0043338D" w:rsidRPr="00710A74">
        <w:rPr>
          <w:bCs/>
          <w:iCs/>
        </w:rPr>
        <w:t xml:space="preserve">r </w:t>
      </w:r>
      <w:r w:rsidR="00963590">
        <w:rPr>
          <w:bCs/>
          <w:iCs/>
        </w:rPr>
        <w:t>County</w:t>
      </w:r>
      <w:r w:rsidR="00EA2C4A" w:rsidRPr="00710A74">
        <w:rPr>
          <w:bCs/>
          <w:iCs/>
        </w:rPr>
        <w:t xml:space="preserve"> will use</w:t>
      </w:r>
      <w:r>
        <w:rPr>
          <w:bCs/>
        </w:rPr>
        <w:t xml:space="preserve">]. In the event of </w:t>
      </w:r>
      <w:r w:rsidR="008A5564">
        <w:rPr>
          <w:bCs/>
        </w:rPr>
        <w:t xml:space="preserve">our clearing </w:t>
      </w:r>
      <w:r w:rsidR="00963590">
        <w:rPr>
          <w:bCs/>
        </w:rPr>
        <w:t>County</w:t>
      </w:r>
      <w:r w:rsidR="008A5564">
        <w:rPr>
          <w:bCs/>
        </w:rPr>
        <w:t xml:space="preserve"> experiences a</w:t>
      </w:r>
      <w:r w:rsidR="00194FB0">
        <w:rPr>
          <w:bCs/>
        </w:rPr>
        <w:t>n</w:t>
      </w:r>
      <w:r w:rsidR="008A5564">
        <w:rPr>
          <w:bCs/>
        </w:rPr>
        <w:t xml:space="preserve"> SBD impacting order entry, </w:t>
      </w:r>
      <w:r>
        <w:rPr>
          <w:bCs/>
        </w:rPr>
        <w:t xml:space="preserve">we will maintain the order in </w:t>
      </w:r>
      <w:r w:rsidR="008A5564">
        <w:rPr>
          <w:bCs/>
        </w:rPr>
        <w:t>[</w:t>
      </w:r>
      <w:r w:rsidRPr="003232AE">
        <w:rPr>
          <w:bCs/>
        </w:rPr>
        <w:t>electronic or paper format</w:t>
      </w:r>
      <w:r w:rsidR="008A5564">
        <w:rPr>
          <w:bCs/>
        </w:rPr>
        <w:t>]</w:t>
      </w:r>
      <w:r>
        <w:rPr>
          <w:bCs/>
        </w:rPr>
        <w:t xml:space="preserve"> and deliver the order to the clearing </w:t>
      </w:r>
      <w:r w:rsidR="00963590">
        <w:rPr>
          <w:bCs/>
        </w:rPr>
        <w:t>County</w:t>
      </w:r>
      <w:r>
        <w:rPr>
          <w:bCs/>
        </w:rPr>
        <w:t xml:space="preserve"> by the fastest means available when it resumes operations. In addition, </w:t>
      </w:r>
      <w:r w:rsidR="00915C28">
        <w:rPr>
          <w:bCs/>
        </w:rPr>
        <w:t xml:space="preserve">our contract with the clearing </w:t>
      </w:r>
      <w:r w:rsidR="00963590">
        <w:rPr>
          <w:bCs/>
        </w:rPr>
        <w:t>County</w:t>
      </w:r>
      <w:r w:rsidR="00915C28">
        <w:rPr>
          <w:bCs/>
        </w:rPr>
        <w:t xml:space="preserve"> provides that customers may be referred to the </w:t>
      </w:r>
      <w:r>
        <w:rPr>
          <w:bCs/>
        </w:rPr>
        <w:t xml:space="preserve">clearing </w:t>
      </w:r>
      <w:r w:rsidR="00963590">
        <w:rPr>
          <w:bCs/>
        </w:rPr>
        <w:t>County</w:t>
      </w:r>
      <w:r>
        <w:rPr>
          <w:bCs/>
        </w:rPr>
        <w:t xml:space="preserve"> for </w:t>
      </w:r>
      <w:r w:rsidR="00B10CCC">
        <w:rPr>
          <w:bCs/>
        </w:rPr>
        <w:t xml:space="preserve">direct </w:t>
      </w:r>
      <w:r>
        <w:rPr>
          <w:bCs/>
        </w:rPr>
        <w:t xml:space="preserve">order entry.  </w:t>
      </w:r>
    </w:p>
    <w:p w14:paraId="1D1F7508" w14:textId="77777777" w:rsidR="00C934ED" w:rsidRDefault="00C934ED">
      <w:pPr>
        <w:rPr>
          <w:b/>
        </w:rPr>
      </w:pPr>
    </w:p>
    <w:p w14:paraId="5AD96A01" w14:textId="77777777" w:rsidR="00C934ED" w:rsidRDefault="00C934ED" w:rsidP="006C28C2">
      <w:pPr>
        <w:pStyle w:val="Heading3"/>
        <w:tabs>
          <w:tab w:val="clear" w:pos="1800"/>
        </w:tabs>
        <w:ind w:left="2160" w:hanging="720"/>
      </w:pPr>
      <w:r>
        <w:t>Order Execution</w:t>
      </w:r>
    </w:p>
    <w:p w14:paraId="61C487BF" w14:textId="581B845B" w:rsidR="00C934ED" w:rsidRDefault="00C934ED">
      <w:pPr>
        <w:rPr>
          <w:i/>
          <w:iCs/>
        </w:rPr>
      </w:pPr>
      <w:r>
        <w:rPr>
          <w:i/>
          <w:iCs/>
        </w:rPr>
        <w:t xml:space="preserve">If your </w:t>
      </w:r>
      <w:r w:rsidR="00963590">
        <w:rPr>
          <w:i/>
          <w:iCs/>
        </w:rPr>
        <w:t>County</w:t>
      </w:r>
      <w:r>
        <w:rPr>
          <w:i/>
          <w:iCs/>
        </w:rPr>
        <w:t xml:space="preserve"> executes orders, describe your procedures if an SBD prevents your </w:t>
      </w:r>
      <w:r w:rsidR="00963590">
        <w:rPr>
          <w:i/>
          <w:iCs/>
        </w:rPr>
        <w:t>County</w:t>
      </w:r>
      <w:r>
        <w:rPr>
          <w:i/>
          <w:iCs/>
        </w:rPr>
        <w:t xml:space="preserve"> from executing orders received from customers. If your </w:t>
      </w:r>
      <w:r w:rsidR="00963590">
        <w:rPr>
          <w:i/>
          <w:iCs/>
        </w:rPr>
        <w:t>County</w:t>
      </w:r>
      <w:r>
        <w:rPr>
          <w:i/>
          <w:iCs/>
        </w:rPr>
        <w:t xml:space="preserve"> does not execute orders, include order execution in the list of mission critical systems that your clearing </w:t>
      </w:r>
      <w:r w:rsidR="00963590">
        <w:rPr>
          <w:i/>
          <w:iCs/>
        </w:rPr>
        <w:t>County</w:t>
      </w:r>
      <w:r>
        <w:rPr>
          <w:i/>
          <w:iCs/>
        </w:rPr>
        <w:t xml:space="preserve"> provides to your </w:t>
      </w:r>
      <w:r w:rsidR="00963590">
        <w:rPr>
          <w:i/>
          <w:iCs/>
        </w:rPr>
        <w:t>County</w:t>
      </w:r>
      <w:r>
        <w:rPr>
          <w:i/>
          <w:iCs/>
        </w:rPr>
        <w:t xml:space="preserve"> in the next section, Mission Critical Systems Provided by Our Clearing </w:t>
      </w:r>
      <w:r w:rsidR="00963590">
        <w:rPr>
          <w:i/>
          <w:iCs/>
        </w:rPr>
        <w:t>County</w:t>
      </w:r>
      <w:r>
        <w:rPr>
          <w:i/>
          <w:iCs/>
        </w:rPr>
        <w:t xml:space="preserve">.  </w:t>
      </w:r>
    </w:p>
    <w:p w14:paraId="4B988CFE" w14:textId="77777777" w:rsidR="00C934ED" w:rsidRDefault="00C934ED">
      <w:pPr>
        <w:rPr>
          <w:i/>
          <w:iCs/>
        </w:rPr>
      </w:pPr>
    </w:p>
    <w:p w14:paraId="3665C79D" w14:textId="13433944" w:rsidR="00C934ED" w:rsidRDefault="00C934ED">
      <w:pPr>
        <w:rPr>
          <w:bCs/>
        </w:rPr>
      </w:pPr>
      <w:r>
        <w:rPr>
          <w:bCs/>
          <w:i/>
        </w:rPr>
        <w:t>TEXT EXAMPLE</w:t>
      </w:r>
      <w:r>
        <w:rPr>
          <w:bCs/>
        </w:rPr>
        <w:t>:</w:t>
      </w:r>
      <w:r w:rsidR="000C2314">
        <w:rPr>
          <w:bCs/>
        </w:rPr>
        <w:t xml:space="preserve"> </w:t>
      </w:r>
      <w:r>
        <w:rPr>
          <w:bCs/>
        </w:rPr>
        <w:t>We currently execute orders by [</w:t>
      </w:r>
      <w:r w:rsidRPr="00710A74">
        <w:rPr>
          <w:bCs/>
          <w:iCs/>
        </w:rPr>
        <w:t>describe current execution procedures</w:t>
      </w:r>
      <w:r>
        <w:rPr>
          <w:bCs/>
        </w:rPr>
        <w:t>].</w:t>
      </w:r>
      <w:r w:rsidR="000C2314">
        <w:rPr>
          <w:bCs/>
        </w:rPr>
        <w:t xml:space="preserve"> </w:t>
      </w:r>
      <w:r>
        <w:rPr>
          <w:bCs/>
        </w:rPr>
        <w:t>In the event of an SBD, we would [</w:t>
      </w:r>
      <w:r w:rsidRPr="00710A74">
        <w:rPr>
          <w:bCs/>
          <w:iCs/>
        </w:rPr>
        <w:t>describe your execution procedures in the event of an SBD</w:t>
      </w:r>
      <w:r>
        <w:rPr>
          <w:bCs/>
        </w:rPr>
        <w:t xml:space="preserve">]. </w:t>
      </w:r>
    </w:p>
    <w:p w14:paraId="79A7959E" w14:textId="77777777" w:rsidR="00C934ED" w:rsidRDefault="00C934ED">
      <w:pPr>
        <w:rPr>
          <w:b/>
          <w:bCs/>
          <w:i/>
          <w:iCs/>
        </w:rPr>
      </w:pPr>
    </w:p>
    <w:p w14:paraId="2D23C875" w14:textId="77777777" w:rsidR="00C934ED" w:rsidRDefault="00C934ED" w:rsidP="006C28C2">
      <w:pPr>
        <w:pStyle w:val="Heading3"/>
        <w:tabs>
          <w:tab w:val="clear" w:pos="1800"/>
        </w:tabs>
        <w:ind w:left="2160" w:hanging="720"/>
        <w:rPr>
          <w:bCs w:val="0"/>
        </w:rPr>
      </w:pPr>
      <w:r>
        <w:t>Other Services Currently Provided to Customers</w:t>
      </w:r>
    </w:p>
    <w:p w14:paraId="50CE064C" w14:textId="475ACB62" w:rsidR="00C934ED" w:rsidRDefault="00C934ED">
      <w:pPr>
        <w:rPr>
          <w:bCs/>
        </w:rPr>
      </w:pPr>
      <w:r>
        <w:rPr>
          <w:bCs/>
          <w:i/>
        </w:rPr>
        <w:lastRenderedPageBreak/>
        <w:t>TEXT EXAMPLE</w:t>
      </w:r>
      <w:r>
        <w:rPr>
          <w:bCs/>
        </w:rPr>
        <w:t>:</w:t>
      </w:r>
      <w:r w:rsidR="000C2314">
        <w:rPr>
          <w:bCs/>
        </w:rPr>
        <w:t xml:space="preserve"> </w:t>
      </w:r>
      <w:r>
        <w:rPr>
          <w:bCs/>
        </w:rPr>
        <w:t>In addition to those services listed above in this section</w:t>
      </w:r>
      <w:r w:rsidR="006761F2">
        <w:rPr>
          <w:bCs/>
        </w:rPr>
        <w:t>,</w:t>
      </w:r>
      <w:r>
        <w:rPr>
          <w:bCs/>
        </w:rPr>
        <w:t xml:space="preserve"> we also [</w:t>
      </w:r>
      <w:r w:rsidRPr="00710A74">
        <w:rPr>
          <w:bCs/>
          <w:iCs/>
        </w:rPr>
        <w:t>describe any other services you provide customers</w:t>
      </w:r>
      <w:r>
        <w:rPr>
          <w:bCs/>
        </w:rPr>
        <w:t>]. In the event of an SBD, we would [</w:t>
      </w:r>
      <w:r w:rsidRPr="00710A74">
        <w:rPr>
          <w:bCs/>
          <w:iCs/>
        </w:rPr>
        <w:t>describe how you would provide those services in the event of an SBD</w:t>
      </w:r>
      <w:r>
        <w:rPr>
          <w:bCs/>
        </w:rPr>
        <w:t xml:space="preserve">]. </w:t>
      </w:r>
    </w:p>
    <w:p w14:paraId="0AD46AA1" w14:textId="77777777" w:rsidR="00C934ED" w:rsidRDefault="00C934ED">
      <w:pPr>
        <w:rPr>
          <w:bCs/>
          <w:i/>
        </w:rPr>
      </w:pPr>
    </w:p>
    <w:p w14:paraId="35590CB0" w14:textId="77777777" w:rsidR="00C934ED" w:rsidRDefault="00C934ED"/>
    <w:p w14:paraId="344896FA" w14:textId="1A41E5BD" w:rsidR="00C934ED" w:rsidRDefault="00C934ED" w:rsidP="00FD3267">
      <w:pPr>
        <w:pStyle w:val="Heading1"/>
        <w:tabs>
          <w:tab w:val="clear" w:pos="360"/>
        </w:tabs>
        <w:ind w:left="720" w:hanging="720"/>
      </w:pPr>
      <w:r>
        <w:t xml:space="preserve">Alternate Communications Between the </w:t>
      </w:r>
      <w:r w:rsidR="00963590">
        <w:t>County</w:t>
      </w:r>
      <w:r>
        <w:t xml:space="preserve"> and Customers, Employees and Regulators</w:t>
      </w:r>
    </w:p>
    <w:p w14:paraId="5FD4C2E5" w14:textId="77777777" w:rsidR="00C934ED" w:rsidRDefault="00C934ED">
      <w:pPr>
        <w:rPr>
          <w:color w:val="000000"/>
        </w:rPr>
      </w:pPr>
    </w:p>
    <w:p w14:paraId="0045AF60" w14:textId="6BAC0E9E" w:rsidR="00C934ED" w:rsidRDefault="00C934ED" w:rsidP="00CD189C">
      <w:pPr>
        <w:ind w:left="1440" w:hanging="720"/>
        <w:rPr>
          <w:color w:val="000000"/>
          <w:sz w:val="28"/>
        </w:rPr>
      </w:pPr>
      <w:r>
        <w:rPr>
          <w:color w:val="000000"/>
          <w:sz w:val="28"/>
        </w:rPr>
        <w:t>A.</w:t>
      </w:r>
      <w:r w:rsidR="00CD189C">
        <w:rPr>
          <w:color w:val="000000"/>
          <w:sz w:val="28"/>
        </w:rPr>
        <w:tab/>
      </w:r>
      <w:r>
        <w:rPr>
          <w:color w:val="000000"/>
          <w:sz w:val="28"/>
          <w:u w:val="single"/>
        </w:rPr>
        <w:t>Customers</w:t>
      </w:r>
    </w:p>
    <w:p w14:paraId="0C65A3BC" w14:textId="77777777" w:rsidR="00C934ED" w:rsidRDefault="00C934ED" w:rsidP="00710A74">
      <w:pPr>
        <w:rPr>
          <w:color w:val="000000"/>
          <w:sz w:val="28"/>
        </w:rPr>
      </w:pPr>
    </w:p>
    <w:p w14:paraId="32471D12" w14:textId="2F35052E" w:rsidR="00C934ED" w:rsidRDefault="00C934ED">
      <w:pPr>
        <w:rPr>
          <w:i/>
          <w:iCs/>
          <w:color w:val="000000"/>
        </w:rPr>
      </w:pPr>
      <w:r>
        <w:rPr>
          <w:i/>
          <w:iCs/>
          <w:color w:val="000000"/>
        </w:rPr>
        <w:t xml:space="preserve">Describe the alternate means of communications that your </w:t>
      </w:r>
      <w:r w:rsidR="00963590">
        <w:rPr>
          <w:i/>
          <w:iCs/>
          <w:color w:val="000000"/>
        </w:rPr>
        <w:t>County</w:t>
      </w:r>
      <w:r>
        <w:rPr>
          <w:i/>
          <w:iCs/>
          <w:color w:val="000000"/>
        </w:rPr>
        <w:t xml:space="preserve"> will use to communicate with its customers</w:t>
      </w:r>
      <w:r>
        <w:rPr>
          <w:bCs/>
          <w:i/>
          <w:iCs/>
        </w:rPr>
        <w:t xml:space="preserve"> in the event of an SBD</w:t>
      </w:r>
      <w:r>
        <w:rPr>
          <w:i/>
          <w:iCs/>
          <w:color w:val="000000"/>
        </w:rPr>
        <w:t>.</w:t>
      </w:r>
    </w:p>
    <w:p w14:paraId="6D32FF1D" w14:textId="77777777" w:rsidR="00C934ED" w:rsidRDefault="00C934ED">
      <w:pPr>
        <w:rPr>
          <w:i/>
          <w:iCs/>
          <w:color w:val="000000"/>
        </w:rPr>
      </w:pPr>
    </w:p>
    <w:p w14:paraId="5871E658" w14:textId="14FA49A3" w:rsidR="00C934ED" w:rsidRPr="00710A74" w:rsidRDefault="00C934ED">
      <w:pPr>
        <w:rPr>
          <w:color w:val="000000"/>
        </w:rPr>
      </w:pPr>
      <w:r>
        <w:rPr>
          <w:i/>
          <w:iCs/>
        </w:rPr>
        <w:t>TEXT EXAMPLE:</w:t>
      </w:r>
      <w:r w:rsidR="00034153">
        <w:t xml:space="preserve"> </w:t>
      </w:r>
      <w:r>
        <w:t xml:space="preserve">In the event of an SBD, we will </w:t>
      </w:r>
      <w:r w:rsidR="00F558C3">
        <w:t xml:space="preserve">identify whether there are any limitations on our ability to communicate with customers. </w:t>
      </w:r>
      <w:r w:rsidR="00F558C3">
        <w:rPr>
          <w:color w:val="000000"/>
        </w:rPr>
        <w:t>Depending on the limitat</w:t>
      </w:r>
      <w:r w:rsidR="00BD111B">
        <w:rPr>
          <w:color w:val="000000"/>
        </w:rPr>
        <w:t>ions, we will employ alternate</w:t>
      </w:r>
      <w:r w:rsidR="00F558C3">
        <w:rPr>
          <w:color w:val="000000"/>
        </w:rPr>
        <w:t xml:space="preserve"> modes of communication, including [</w:t>
      </w:r>
      <w:r w:rsidR="00F558C3" w:rsidRPr="003232AE">
        <w:rPr>
          <w:color w:val="000000"/>
        </w:rPr>
        <w:t>our website, phone or email</w:t>
      </w:r>
      <w:r w:rsidR="00F558C3">
        <w:rPr>
          <w:color w:val="000000"/>
        </w:rPr>
        <w:t xml:space="preserve">], to communicate with customers. </w:t>
      </w:r>
      <w:r w:rsidR="00A33492">
        <w:rPr>
          <w:color w:val="000000"/>
        </w:rPr>
        <w:t xml:space="preserve">When an alternate mode of communication is used we will consider any increased </w:t>
      </w:r>
      <w:r w:rsidR="00FD3267">
        <w:rPr>
          <w:color w:val="000000"/>
        </w:rPr>
        <w:t>risk</w:t>
      </w:r>
      <w:r w:rsidR="00A33492">
        <w:rPr>
          <w:color w:val="000000"/>
        </w:rPr>
        <w:t xml:space="preserve"> of cybersecurity events stemming from the alternate mode.</w:t>
      </w:r>
      <w:r w:rsidR="00290990">
        <w:rPr>
          <w:color w:val="000000"/>
        </w:rPr>
        <w:t xml:space="preserve">  </w:t>
      </w:r>
    </w:p>
    <w:p w14:paraId="249EA84B" w14:textId="77777777" w:rsidR="00C934ED" w:rsidRDefault="00C934ED"/>
    <w:p w14:paraId="3F619159" w14:textId="77777777" w:rsidR="00C934ED" w:rsidRDefault="00C934ED"/>
    <w:p w14:paraId="1D11D754" w14:textId="60E7A3D1" w:rsidR="00C934ED" w:rsidRDefault="00C934ED" w:rsidP="00CD189C">
      <w:pPr>
        <w:ind w:left="1440" w:hanging="720"/>
        <w:rPr>
          <w:sz w:val="28"/>
          <w:u w:val="single"/>
        </w:rPr>
      </w:pPr>
      <w:r>
        <w:rPr>
          <w:sz w:val="28"/>
        </w:rPr>
        <w:t>B.</w:t>
      </w:r>
      <w:r w:rsidR="00CD189C">
        <w:rPr>
          <w:sz w:val="28"/>
        </w:rPr>
        <w:tab/>
      </w:r>
      <w:r>
        <w:rPr>
          <w:sz w:val="28"/>
          <w:u w:val="single"/>
        </w:rPr>
        <w:t>Employees</w:t>
      </w:r>
    </w:p>
    <w:p w14:paraId="507E7CBE" w14:textId="77777777" w:rsidR="00C934ED" w:rsidRDefault="00C934ED"/>
    <w:p w14:paraId="1F846CF4" w14:textId="4EE270C2" w:rsidR="00C934ED" w:rsidRDefault="00C934ED">
      <w:pPr>
        <w:rPr>
          <w:i/>
          <w:iCs/>
        </w:rPr>
      </w:pPr>
      <w:r>
        <w:rPr>
          <w:i/>
          <w:iCs/>
          <w:color w:val="000000"/>
        </w:rPr>
        <w:t xml:space="preserve">Describe the alternate means of communications that your </w:t>
      </w:r>
      <w:r w:rsidR="00963590">
        <w:rPr>
          <w:i/>
          <w:iCs/>
          <w:color w:val="000000"/>
        </w:rPr>
        <w:t>County</w:t>
      </w:r>
      <w:r>
        <w:rPr>
          <w:i/>
          <w:iCs/>
          <w:color w:val="000000"/>
        </w:rPr>
        <w:t xml:space="preserve"> will use to communicate with its employees </w:t>
      </w:r>
      <w:r>
        <w:rPr>
          <w:bCs/>
          <w:i/>
          <w:iCs/>
        </w:rPr>
        <w:t>in the event of an SBD</w:t>
      </w:r>
      <w:r>
        <w:rPr>
          <w:i/>
          <w:iCs/>
          <w:color w:val="000000"/>
        </w:rPr>
        <w:t>.</w:t>
      </w:r>
    </w:p>
    <w:p w14:paraId="36547DA5" w14:textId="77777777" w:rsidR="00C934ED" w:rsidRDefault="00C934ED">
      <w:pPr>
        <w:rPr>
          <w:i/>
          <w:iCs/>
        </w:rPr>
      </w:pPr>
    </w:p>
    <w:p w14:paraId="2D44D2CA" w14:textId="2D2C6F96" w:rsidR="00A33492" w:rsidRDefault="00C934ED" w:rsidP="008C200D">
      <w:pPr>
        <w:rPr>
          <w:color w:val="000000"/>
        </w:rPr>
      </w:pPr>
      <w:r>
        <w:rPr>
          <w:i/>
          <w:iCs/>
        </w:rPr>
        <w:t>TEXT EXAMPLE:</w:t>
      </w:r>
      <w:r w:rsidR="00034153">
        <w:rPr>
          <w:i/>
          <w:iCs/>
        </w:rPr>
        <w:t xml:space="preserve"> </w:t>
      </w:r>
      <w:r w:rsidR="008C200D">
        <w:t xml:space="preserve">In the event of an SBD, we will identify whether there are any limitations on our ability to communicate with employees. </w:t>
      </w:r>
      <w:r w:rsidR="008C200D">
        <w:rPr>
          <w:color w:val="000000"/>
        </w:rPr>
        <w:t>Depending on the limitat</w:t>
      </w:r>
      <w:r w:rsidR="00BD111B">
        <w:rPr>
          <w:color w:val="000000"/>
        </w:rPr>
        <w:t>ions, we will employ alternate</w:t>
      </w:r>
      <w:r w:rsidR="008C200D">
        <w:rPr>
          <w:color w:val="000000"/>
        </w:rPr>
        <w:t xml:space="preserve"> modes of communication, including [</w:t>
      </w:r>
      <w:r w:rsidR="008C200D" w:rsidRPr="00FD3267">
        <w:rPr>
          <w:color w:val="000000"/>
        </w:rPr>
        <w:t>our website, phone or email</w:t>
      </w:r>
      <w:r w:rsidR="008C200D">
        <w:rPr>
          <w:color w:val="000000"/>
        </w:rPr>
        <w:t xml:space="preserve">], to communicate with employees. </w:t>
      </w:r>
      <w:r w:rsidR="00A33492">
        <w:rPr>
          <w:color w:val="000000"/>
        </w:rPr>
        <w:t>When an alternate mode of communication is used</w:t>
      </w:r>
      <w:r w:rsidR="00726243">
        <w:rPr>
          <w:color w:val="000000"/>
        </w:rPr>
        <w:t>,</w:t>
      </w:r>
      <w:r w:rsidR="00A33492">
        <w:rPr>
          <w:color w:val="000000"/>
        </w:rPr>
        <w:t xml:space="preserve"> we will consider any increased </w:t>
      </w:r>
      <w:r w:rsidR="00FD3267">
        <w:rPr>
          <w:color w:val="000000"/>
        </w:rPr>
        <w:t>risk</w:t>
      </w:r>
      <w:r w:rsidR="00A33492">
        <w:rPr>
          <w:color w:val="000000"/>
        </w:rPr>
        <w:t xml:space="preserve"> of cybersecurity events stemming from the alternate mode.</w:t>
      </w:r>
    </w:p>
    <w:p w14:paraId="02BDE078" w14:textId="77777777" w:rsidR="00FD3267" w:rsidRDefault="00FD3267"/>
    <w:p w14:paraId="741D1054" w14:textId="47187266" w:rsidR="00C872C4" w:rsidRDefault="00023487" w:rsidP="008C200D">
      <w:r w:rsidRPr="00023487">
        <w:t xml:space="preserve">Consistent with FINRA Rule 4511 (General Requirements), </w:t>
      </w:r>
      <w:r>
        <w:t>w</w:t>
      </w:r>
      <w:r w:rsidR="00C934ED">
        <w:t xml:space="preserve">e will also employ </w:t>
      </w:r>
      <w:r w:rsidR="00902724">
        <w:t xml:space="preserve">the </w:t>
      </w:r>
      <w:r w:rsidR="008C200D">
        <w:t>use of [</w:t>
      </w:r>
      <w:r w:rsidR="00963590">
        <w:t>County</w:t>
      </w:r>
      <w:r w:rsidR="008C200D">
        <w:t>-wide or office</w:t>
      </w:r>
      <w:r w:rsidR="0064534D">
        <w:t xml:space="preserve">-wide emails or text messages </w:t>
      </w:r>
      <w:r w:rsidR="00902724">
        <w:t xml:space="preserve">or notifications, </w:t>
      </w:r>
      <w:r w:rsidR="0064534D">
        <w:t>or a call tree</w:t>
      </w:r>
      <w:r w:rsidR="008C200D">
        <w:t xml:space="preserve">] </w:t>
      </w:r>
      <w:r w:rsidR="00C934ED">
        <w:t>so that senior management can reach all employees quickly during an SBD.</w:t>
      </w:r>
      <w:r w:rsidR="00034153">
        <w:t xml:space="preserve"> </w:t>
      </w:r>
      <w:r w:rsidR="00794799">
        <w:t>In addition, in the event that employees move to a back-up location or remote location for an extended period of time (</w:t>
      </w:r>
      <w:r w:rsidR="00794799" w:rsidRPr="00710A74">
        <w:rPr>
          <w:i/>
        </w:rPr>
        <w:t>e.g.</w:t>
      </w:r>
      <w:r w:rsidR="00794799">
        <w:t xml:space="preserve">, due to a pandemic), we will circulate updated employee contact information within the </w:t>
      </w:r>
      <w:r w:rsidR="00963590">
        <w:t>County</w:t>
      </w:r>
      <w:r w:rsidR="00794799">
        <w:t xml:space="preserve"> to maintain service.</w:t>
      </w:r>
    </w:p>
    <w:p w14:paraId="5881F722" w14:textId="77777777" w:rsidR="00A23FC1" w:rsidRDefault="00A23FC1"/>
    <w:p w14:paraId="7DCED57E" w14:textId="25087C2A" w:rsidR="00C934ED" w:rsidRDefault="00C872C4">
      <w:r>
        <w:t xml:space="preserve">We also have a call tree, which </w:t>
      </w:r>
      <w:r w:rsidR="00C934ED">
        <w:t xml:space="preserve">includes all staff </w:t>
      </w:r>
      <w:r w:rsidR="00902724">
        <w:t xml:space="preserve">personal </w:t>
      </w:r>
      <w:r w:rsidR="00C934ED">
        <w:t>and office phone numbers.</w:t>
      </w:r>
      <w:r w:rsidR="00034153">
        <w:t xml:space="preserve"> </w:t>
      </w:r>
      <w:r w:rsidR="00C934ED">
        <w:t>The person to invoke use of the call tree is: [</w:t>
      </w:r>
      <w:r w:rsidR="00C934ED">
        <w:rPr>
          <w:i/>
          <w:iCs/>
        </w:rPr>
        <w:t>insert name</w:t>
      </w:r>
      <w:r w:rsidR="00C934ED">
        <w:t>]</w:t>
      </w:r>
    </w:p>
    <w:p w14:paraId="02E13604" w14:textId="21DA6760" w:rsidR="00C934ED" w:rsidRDefault="00C934ED"/>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9"/>
        <w:gridCol w:w="4581"/>
      </w:tblGrid>
      <w:tr w:rsidR="00C934ED" w14:paraId="6EEF9230" w14:textId="373151FC" w:rsidTr="00710A74">
        <w:tc>
          <w:tcPr>
            <w:tcW w:w="3699" w:type="dxa"/>
            <w:shd w:val="clear" w:color="auto" w:fill="C6D9F1" w:themeFill="text2" w:themeFillTint="33"/>
          </w:tcPr>
          <w:p w14:paraId="14E1F905" w14:textId="52BC8F70" w:rsidR="00C934ED" w:rsidRPr="00710A74" w:rsidRDefault="00C934ED" w:rsidP="00710A74">
            <w:pPr>
              <w:rPr>
                <w:b/>
              </w:rPr>
            </w:pPr>
            <w:r w:rsidRPr="00710A74">
              <w:rPr>
                <w:b/>
              </w:rPr>
              <w:t>Caller</w:t>
            </w:r>
          </w:p>
        </w:tc>
        <w:tc>
          <w:tcPr>
            <w:tcW w:w="4581" w:type="dxa"/>
            <w:shd w:val="clear" w:color="auto" w:fill="C6D9F1" w:themeFill="text2" w:themeFillTint="33"/>
          </w:tcPr>
          <w:p w14:paraId="3C1AE5D3" w14:textId="26D7930E" w:rsidR="00C934ED" w:rsidRPr="00710A74" w:rsidRDefault="00C934ED" w:rsidP="00710A74">
            <w:pPr>
              <w:rPr>
                <w:b/>
              </w:rPr>
            </w:pPr>
            <w:r w:rsidRPr="00710A74">
              <w:rPr>
                <w:b/>
              </w:rPr>
              <w:t>Call Recipients</w:t>
            </w:r>
          </w:p>
        </w:tc>
      </w:tr>
      <w:tr w:rsidR="00C934ED" w14:paraId="566D6BF2" w14:textId="5522EFCF">
        <w:tc>
          <w:tcPr>
            <w:tcW w:w="3699" w:type="dxa"/>
          </w:tcPr>
          <w:p w14:paraId="77C820AA" w14:textId="51902662" w:rsidR="00C934ED" w:rsidRDefault="00C934ED" w:rsidP="00710A74">
            <w:pPr>
              <w:rPr>
                <w:i/>
                <w:iCs/>
              </w:rPr>
            </w:pPr>
          </w:p>
        </w:tc>
        <w:tc>
          <w:tcPr>
            <w:tcW w:w="4581" w:type="dxa"/>
          </w:tcPr>
          <w:p w14:paraId="539A02E2" w14:textId="221D5040" w:rsidR="00C934ED" w:rsidRDefault="00C934ED">
            <w:pPr>
              <w:rPr>
                <w:i/>
                <w:iCs/>
              </w:rPr>
            </w:pPr>
          </w:p>
        </w:tc>
      </w:tr>
      <w:tr w:rsidR="00C934ED" w14:paraId="351EAD16" w14:textId="795FEE5D">
        <w:tc>
          <w:tcPr>
            <w:tcW w:w="3699" w:type="dxa"/>
          </w:tcPr>
          <w:p w14:paraId="3ED30692" w14:textId="599C6823" w:rsidR="00C934ED" w:rsidRDefault="00C934ED" w:rsidP="00710A74">
            <w:pPr>
              <w:rPr>
                <w:i/>
                <w:iCs/>
              </w:rPr>
            </w:pPr>
          </w:p>
        </w:tc>
        <w:tc>
          <w:tcPr>
            <w:tcW w:w="4581" w:type="dxa"/>
          </w:tcPr>
          <w:p w14:paraId="40AFD8D8" w14:textId="6053EC17" w:rsidR="00C934ED" w:rsidRDefault="00C934ED">
            <w:pPr>
              <w:rPr>
                <w:i/>
                <w:iCs/>
              </w:rPr>
            </w:pPr>
          </w:p>
        </w:tc>
      </w:tr>
      <w:tr w:rsidR="00C934ED" w14:paraId="50CFEC93" w14:textId="37C7B622">
        <w:tc>
          <w:tcPr>
            <w:tcW w:w="3699" w:type="dxa"/>
          </w:tcPr>
          <w:p w14:paraId="74E2FDEE" w14:textId="704866CF" w:rsidR="00C934ED" w:rsidRDefault="00C934ED" w:rsidP="008C200D">
            <w:pPr>
              <w:rPr>
                <w:rFonts w:ascii="Arial" w:hAnsi="Arial" w:cs="Arial"/>
              </w:rPr>
            </w:pPr>
          </w:p>
        </w:tc>
        <w:tc>
          <w:tcPr>
            <w:tcW w:w="4581" w:type="dxa"/>
          </w:tcPr>
          <w:p w14:paraId="4334849A" w14:textId="249D0B50" w:rsidR="00C934ED" w:rsidRDefault="00C934ED" w:rsidP="00710A74">
            <w:pPr>
              <w:rPr>
                <w:rFonts w:ascii="Arial" w:hAnsi="Arial" w:cs="Arial"/>
              </w:rPr>
            </w:pPr>
          </w:p>
        </w:tc>
      </w:tr>
      <w:tr w:rsidR="00C934ED" w14:paraId="3239C9BA" w14:textId="37310B24">
        <w:tc>
          <w:tcPr>
            <w:tcW w:w="3699" w:type="dxa"/>
          </w:tcPr>
          <w:p w14:paraId="53B39B11" w14:textId="03A3076E" w:rsidR="00C934ED" w:rsidRDefault="00C934ED" w:rsidP="00710A74">
            <w:pPr>
              <w:rPr>
                <w:rFonts w:ascii="Arial" w:hAnsi="Arial" w:cs="Arial"/>
                <w:bCs/>
              </w:rPr>
            </w:pPr>
          </w:p>
        </w:tc>
        <w:tc>
          <w:tcPr>
            <w:tcW w:w="4581" w:type="dxa"/>
          </w:tcPr>
          <w:p w14:paraId="2C50C8F2" w14:textId="2060A89B" w:rsidR="00C934ED" w:rsidRDefault="00C934ED" w:rsidP="00710A74">
            <w:pPr>
              <w:rPr>
                <w:rFonts w:cs="Arial"/>
                <w:bCs/>
              </w:rPr>
            </w:pPr>
          </w:p>
        </w:tc>
      </w:tr>
      <w:tr w:rsidR="00C934ED" w14:paraId="2CAC7B45" w14:textId="56C75A77">
        <w:tc>
          <w:tcPr>
            <w:tcW w:w="3699" w:type="dxa"/>
          </w:tcPr>
          <w:p w14:paraId="6DFCA7EE" w14:textId="6F852CD5" w:rsidR="00C934ED" w:rsidRDefault="00C934ED" w:rsidP="00710A74">
            <w:pPr>
              <w:rPr>
                <w:rFonts w:ascii="Arial" w:hAnsi="Arial" w:cs="Arial"/>
                <w:bCs/>
              </w:rPr>
            </w:pPr>
          </w:p>
        </w:tc>
        <w:tc>
          <w:tcPr>
            <w:tcW w:w="4581" w:type="dxa"/>
          </w:tcPr>
          <w:p w14:paraId="10C33A9E" w14:textId="6315CF87" w:rsidR="00C934ED" w:rsidRDefault="00C934ED" w:rsidP="00710A74">
            <w:pPr>
              <w:rPr>
                <w:rFonts w:ascii="Arial" w:hAnsi="Arial" w:cs="Arial"/>
              </w:rPr>
            </w:pPr>
          </w:p>
        </w:tc>
      </w:tr>
    </w:tbl>
    <w:p w14:paraId="4D062DC2" w14:textId="77777777" w:rsidR="00AA6D58" w:rsidRDefault="00AA6D58"/>
    <w:p w14:paraId="70D0C71D" w14:textId="77777777" w:rsidR="00C934ED" w:rsidRDefault="00C934ED"/>
    <w:p w14:paraId="1473A9BC" w14:textId="35427B76" w:rsidR="00C934ED" w:rsidRDefault="00C934ED" w:rsidP="00CD189C">
      <w:pPr>
        <w:pStyle w:val="Heading1"/>
        <w:tabs>
          <w:tab w:val="clear" w:pos="360"/>
        </w:tabs>
        <w:ind w:left="720" w:hanging="720"/>
        <w:rPr>
          <w:bCs w:val="0"/>
        </w:rPr>
      </w:pPr>
      <w:r>
        <w:rPr>
          <w:bCs w:val="0"/>
        </w:rPr>
        <w:t>Critical Business Constituents, Banks and Counter</w:t>
      </w:r>
      <w:r w:rsidRPr="00710A74">
        <w:rPr>
          <w:bCs w:val="0"/>
        </w:rPr>
        <w:t>-</w:t>
      </w:r>
      <w:r>
        <w:rPr>
          <w:bCs w:val="0"/>
        </w:rPr>
        <w:t xml:space="preserve">Parties </w:t>
      </w:r>
    </w:p>
    <w:p w14:paraId="34435110" w14:textId="77777777" w:rsidR="00C934ED" w:rsidRDefault="00C934ED"/>
    <w:p w14:paraId="15899C65" w14:textId="03140C98" w:rsidR="00C934ED" w:rsidRDefault="00C934ED">
      <w:pPr>
        <w:rPr>
          <w:i/>
          <w:iCs/>
          <w:color w:val="000000"/>
        </w:rPr>
      </w:pPr>
      <w:r>
        <w:rPr>
          <w:i/>
          <w:iCs/>
        </w:rPr>
        <w:t xml:space="preserve">Describe your </w:t>
      </w:r>
      <w:r w:rsidR="00963590">
        <w:rPr>
          <w:i/>
          <w:iCs/>
        </w:rPr>
        <w:t>County</w:t>
      </w:r>
      <w:r>
        <w:rPr>
          <w:i/>
          <w:iCs/>
        </w:rPr>
        <w:t xml:space="preserve">’s </w:t>
      </w:r>
      <w:r>
        <w:rPr>
          <w:i/>
          <w:iCs/>
          <w:color w:val="000000"/>
        </w:rPr>
        <w:t xml:space="preserve">procedures to identify changes in the impact an SBD </w:t>
      </w:r>
      <w:r w:rsidR="007C3D02">
        <w:rPr>
          <w:i/>
          <w:iCs/>
          <w:color w:val="000000"/>
        </w:rPr>
        <w:t xml:space="preserve">may </w:t>
      </w:r>
      <w:r>
        <w:rPr>
          <w:i/>
          <w:iCs/>
          <w:color w:val="000000"/>
        </w:rPr>
        <w:t>have on its relationship with its critical business constituents, banks, and counter</w:t>
      </w:r>
      <w:r w:rsidRPr="00710A74">
        <w:rPr>
          <w:i/>
          <w:iCs/>
          <w:color w:val="000000"/>
        </w:rPr>
        <w:t>-</w:t>
      </w:r>
      <w:r>
        <w:rPr>
          <w:i/>
          <w:iCs/>
          <w:color w:val="000000"/>
        </w:rPr>
        <w:t>parties, and how it will deal with those impacts.</w:t>
      </w:r>
    </w:p>
    <w:p w14:paraId="5B419067" w14:textId="77777777" w:rsidR="00C934ED" w:rsidRDefault="00C934ED">
      <w:pPr>
        <w:rPr>
          <w:i/>
          <w:u w:val="single"/>
        </w:rPr>
      </w:pPr>
    </w:p>
    <w:p w14:paraId="7D4DA4B8" w14:textId="7B60C255" w:rsidR="00C934ED" w:rsidRDefault="00C934ED" w:rsidP="00CD189C">
      <w:pPr>
        <w:pStyle w:val="Heading2"/>
        <w:tabs>
          <w:tab w:val="clear" w:pos="1080"/>
        </w:tabs>
        <w:ind w:left="1440" w:hanging="720"/>
      </w:pPr>
      <w:r>
        <w:t xml:space="preserve">Business </w:t>
      </w:r>
      <w:r w:rsidR="00CD189C">
        <w:t>C</w:t>
      </w:r>
      <w:r>
        <w:t>onstituents</w:t>
      </w:r>
    </w:p>
    <w:p w14:paraId="26B516DD" w14:textId="77777777" w:rsidR="00C934ED" w:rsidRDefault="00C934ED">
      <w:pPr>
        <w:rPr>
          <w:color w:val="000000"/>
        </w:rPr>
      </w:pPr>
    </w:p>
    <w:p w14:paraId="50858632" w14:textId="6E140982" w:rsidR="00C23236" w:rsidRDefault="00C934ED">
      <w:pPr>
        <w:pStyle w:val="BodyText2"/>
        <w:rPr>
          <w:i w:val="0"/>
          <w:iCs w:val="0"/>
        </w:rPr>
      </w:pPr>
      <w:r>
        <w:rPr>
          <w:i w:val="0"/>
          <w:iCs w:val="0"/>
        </w:rPr>
        <w:t xml:space="preserve">TEXT EXAMPLE: </w:t>
      </w:r>
      <w:r w:rsidR="001C0FA5" w:rsidRPr="001C0FA5">
        <w:rPr>
          <w:i w:val="0"/>
          <w:iCs w:val="0"/>
        </w:rPr>
        <w:t xml:space="preserve">In the event of an SBD </w:t>
      </w:r>
      <w:r w:rsidR="001C0FA5">
        <w:rPr>
          <w:i w:val="0"/>
          <w:iCs w:val="0"/>
        </w:rPr>
        <w:t>related to</w:t>
      </w:r>
      <w:r w:rsidR="001C0FA5" w:rsidRPr="001C0FA5">
        <w:rPr>
          <w:i w:val="0"/>
          <w:iCs w:val="0"/>
        </w:rPr>
        <w:t xml:space="preserve"> our </w:t>
      </w:r>
      <w:r w:rsidR="001C0FA5">
        <w:rPr>
          <w:i w:val="0"/>
          <w:iCs w:val="0"/>
        </w:rPr>
        <w:t>critical business constituents (businesses with which we have an ongoing commercial relationship in support of our operating activities, such as vendors providing us critical services)</w:t>
      </w:r>
      <w:r w:rsidR="001C0FA5" w:rsidRPr="001C0FA5">
        <w:rPr>
          <w:i w:val="0"/>
          <w:iCs w:val="0"/>
        </w:rPr>
        <w:t xml:space="preserve">, </w:t>
      </w:r>
      <w:r w:rsidR="001C0FA5">
        <w:rPr>
          <w:i w:val="0"/>
          <w:iCs w:val="0"/>
        </w:rPr>
        <w:t>we will contact</w:t>
      </w:r>
      <w:r>
        <w:rPr>
          <w:i w:val="0"/>
          <w:iCs w:val="0"/>
        </w:rPr>
        <w:t xml:space="preserve"> our critical business constituents and determine the extent to which we can continue our business relationship with them in light of the SBD.</w:t>
      </w:r>
      <w:r w:rsidR="00034153">
        <w:rPr>
          <w:i w:val="0"/>
          <w:iCs w:val="0"/>
        </w:rPr>
        <w:t xml:space="preserve"> </w:t>
      </w:r>
      <w:r w:rsidR="00C23236">
        <w:rPr>
          <w:i w:val="0"/>
          <w:iCs w:val="0"/>
        </w:rPr>
        <w:t xml:space="preserve">Our critical business constituents are: </w:t>
      </w:r>
    </w:p>
    <w:tbl>
      <w:tblPr>
        <w:tblStyle w:val="TableGrid"/>
        <w:tblW w:w="8635" w:type="dxa"/>
        <w:tblInd w:w="0" w:type="dxa"/>
        <w:tblLook w:val="04A0" w:firstRow="1" w:lastRow="0" w:firstColumn="1" w:lastColumn="0" w:noHBand="0" w:noVBand="1"/>
      </w:tblPr>
      <w:tblGrid>
        <w:gridCol w:w="2157"/>
        <w:gridCol w:w="3058"/>
        <w:gridCol w:w="3420"/>
      </w:tblGrid>
      <w:tr w:rsidR="00710A74" w14:paraId="38F18541" w14:textId="77777777" w:rsidTr="002918DD">
        <w:tc>
          <w:tcPr>
            <w:tcW w:w="2157" w:type="dxa"/>
            <w:tcBorders>
              <w:top w:val="single" w:sz="4" w:space="0" w:color="auto"/>
              <w:left w:val="single" w:sz="4" w:space="0" w:color="auto"/>
              <w:bottom w:val="single" w:sz="4" w:space="0" w:color="auto"/>
              <w:right w:val="single" w:sz="4" w:space="0" w:color="auto"/>
            </w:tcBorders>
            <w:hideMark/>
          </w:tcPr>
          <w:p w14:paraId="638F1602" w14:textId="77777777" w:rsidR="00710A74" w:rsidRDefault="00710A74">
            <w:pPr>
              <w:pStyle w:val="BodyText2"/>
              <w:rPr>
                <w:i w:val="0"/>
                <w:iCs w:val="0"/>
              </w:rPr>
            </w:pPr>
            <w:r>
              <w:rPr>
                <w:i w:val="0"/>
              </w:rPr>
              <w:t>Service/Product</w:t>
            </w:r>
          </w:p>
        </w:tc>
        <w:tc>
          <w:tcPr>
            <w:tcW w:w="3058" w:type="dxa"/>
            <w:tcBorders>
              <w:top w:val="single" w:sz="4" w:space="0" w:color="auto"/>
              <w:left w:val="single" w:sz="4" w:space="0" w:color="auto"/>
              <w:bottom w:val="single" w:sz="4" w:space="0" w:color="auto"/>
              <w:right w:val="single" w:sz="4" w:space="0" w:color="auto"/>
            </w:tcBorders>
            <w:hideMark/>
          </w:tcPr>
          <w:p w14:paraId="034C2385" w14:textId="77777777" w:rsidR="00710A74" w:rsidRDefault="00710A74">
            <w:pPr>
              <w:pStyle w:val="BodyText2"/>
              <w:rPr>
                <w:i w:val="0"/>
                <w:iCs w:val="0"/>
              </w:rPr>
            </w:pPr>
            <w:r>
              <w:rPr>
                <w:i w:val="0"/>
              </w:rPr>
              <w:t xml:space="preserve">Supplier’s Name, Address and Phone Number </w:t>
            </w:r>
          </w:p>
        </w:tc>
        <w:tc>
          <w:tcPr>
            <w:tcW w:w="3420" w:type="dxa"/>
            <w:tcBorders>
              <w:top w:val="single" w:sz="4" w:space="0" w:color="auto"/>
              <w:left w:val="single" w:sz="4" w:space="0" w:color="auto"/>
              <w:bottom w:val="single" w:sz="4" w:space="0" w:color="auto"/>
              <w:right w:val="single" w:sz="4" w:space="0" w:color="auto"/>
            </w:tcBorders>
            <w:hideMark/>
          </w:tcPr>
          <w:p w14:paraId="1AFB6229" w14:textId="595F300B" w:rsidR="00710A74" w:rsidRDefault="00710A74">
            <w:pPr>
              <w:pStyle w:val="BodyText2"/>
              <w:rPr>
                <w:i w:val="0"/>
                <w:iCs w:val="0"/>
              </w:rPr>
            </w:pPr>
            <w:r>
              <w:rPr>
                <w:i w:val="0"/>
              </w:rPr>
              <w:t>Any Alternate Supplier’s Name, Address, and Phone Number</w:t>
            </w:r>
          </w:p>
        </w:tc>
      </w:tr>
      <w:tr w:rsidR="00710A74" w14:paraId="20AF167F" w14:textId="77777777" w:rsidTr="002918DD">
        <w:tc>
          <w:tcPr>
            <w:tcW w:w="2157" w:type="dxa"/>
            <w:tcBorders>
              <w:top w:val="single" w:sz="4" w:space="0" w:color="auto"/>
              <w:left w:val="single" w:sz="4" w:space="0" w:color="auto"/>
              <w:bottom w:val="single" w:sz="4" w:space="0" w:color="auto"/>
              <w:right w:val="single" w:sz="4" w:space="0" w:color="auto"/>
            </w:tcBorders>
          </w:tcPr>
          <w:p w14:paraId="2491EE99"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0D7B3136"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4A1B9EFC" w14:textId="77777777" w:rsidR="00710A74" w:rsidRDefault="00710A74">
            <w:pPr>
              <w:pStyle w:val="BodyText2"/>
              <w:rPr>
                <w:i w:val="0"/>
                <w:iCs w:val="0"/>
              </w:rPr>
            </w:pPr>
          </w:p>
        </w:tc>
      </w:tr>
      <w:tr w:rsidR="00710A74" w14:paraId="39A96E9E" w14:textId="77777777" w:rsidTr="002918DD">
        <w:tc>
          <w:tcPr>
            <w:tcW w:w="2157" w:type="dxa"/>
            <w:tcBorders>
              <w:top w:val="single" w:sz="4" w:space="0" w:color="auto"/>
              <w:left w:val="single" w:sz="4" w:space="0" w:color="auto"/>
              <w:bottom w:val="single" w:sz="4" w:space="0" w:color="auto"/>
              <w:right w:val="single" w:sz="4" w:space="0" w:color="auto"/>
            </w:tcBorders>
          </w:tcPr>
          <w:p w14:paraId="77FEBDA8"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02BEC6BA"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6BDA883D" w14:textId="77777777" w:rsidR="00710A74" w:rsidRDefault="00710A74">
            <w:pPr>
              <w:pStyle w:val="BodyText2"/>
              <w:rPr>
                <w:i w:val="0"/>
                <w:iCs w:val="0"/>
              </w:rPr>
            </w:pPr>
          </w:p>
        </w:tc>
      </w:tr>
      <w:tr w:rsidR="00710A74" w14:paraId="0DBBD296" w14:textId="77777777" w:rsidTr="002918DD">
        <w:tc>
          <w:tcPr>
            <w:tcW w:w="2157" w:type="dxa"/>
            <w:tcBorders>
              <w:top w:val="single" w:sz="4" w:space="0" w:color="auto"/>
              <w:left w:val="single" w:sz="4" w:space="0" w:color="auto"/>
              <w:bottom w:val="single" w:sz="4" w:space="0" w:color="auto"/>
              <w:right w:val="single" w:sz="4" w:space="0" w:color="auto"/>
            </w:tcBorders>
          </w:tcPr>
          <w:p w14:paraId="340587E1"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533A8C78"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082BA73F" w14:textId="77777777" w:rsidR="00710A74" w:rsidRDefault="00710A74">
            <w:pPr>
              <w:pStyle w:val="BodyText2"/>
              <w:rPr>
                <w:i w:val="0"/>
                <w:iCs w:val="0"/>
              </w:rPr>
            </w:pPr>
          </w:p>
        </w:tc>
      </w:tr>
    </w:tbl>
    <w:p w14:paraId="1C3F44A5" w14:textId="77777777" w:rsidR="00710A74" w:rsidRDefault="00710A74">
      <w:pPr>
        <w:pStyle w:val="BodyText2"/>
        <w:rPr>
          <w:i w:val="0"/>
          <w:iCs w:val="0"/>
        </w:rPr>
      </w:pPr>
    </w:p>
    <w:p w14:paraId="52B27AD6" w14:textId="77777777" w:rsidR="00C23236" w:rsidRDefault="00C23236">
      <w:pPr>
        <w:pStyle w:val="BodyText2"/>
        <w:rPr>
          <w:i w:val="0"/>
          <w:iCs w:val="0"/>
        </w:rPr>
      </w:pPr>
    </w:p>
    <w:p w14:paraId="4A7198C8" w14:textId="5A1E5A68" w:rsidR="00C934ED" w:rsidRPr="00C23236" w:rsidRDefault="00C934ED" w:rsidP="00C23236">
      <w:pPr>
        <w:pStyle w:val="BodyText2"/>
        <w:rPr>
          <w:i w:val="0"/>
          <w:color w:val="000000"/>
        </w:rPr>
      </w:pPr>
      <w:r>
        <w:rPr>
          <w:i w:val="0"/>
          <w:iCs w:val="0"/>
        </w:rPr>
        <w:t xml:space="preserve">We will quickly establish alternative arrangements if a business constituent can no longer provide the needed goods or services when we need them because </w:t>
      </w:r>
      <w:r w:rsidR="001C0FA5">
        <w:rPr>
          <w:i w:val="0"/>
          <w:iCs w:val="0"/>
        </w:rPr>
        <w:t>the</w:t>
      </w:r>
      <w:r w:rsidR="00C23236">
        <w:rPr>
          <w:i w:val="0"/>
          <w:iCs w:val="0"/>
        </w:rPr>
        <w:t xml:space="preserve"> business constituent is experiencing its</w:t>
      </w:r>
      <w:r w:rsidR="00292EA2">
        <w:rPr>
          <w:i w:val="0"/>
          <w:iCs w:val="0"/>
        </w:rPr>
        <w:t xml:space="preserve"> own</w:t>
      </w:r>
      <w:r>
        <w:rPr>
          <w:i w:val="0"/>
          <w:iCs w:val="0"/>
        </w:rPr>
        <w:t xml:space="preserve"> SBD or </w:t>
      </w:r>
      <w:r w:rsidR="00C23236">
        <w:rPr>
          <w:i w:val="0"/>
          <w:iCs w:val="0"/>
        </w:rPr>
        <w:t xml:space="preserve">we are experiencing </w:t>
      </w:r>
      <w:r>
        <w:rPr>
          <w:i w:val="0"/>
          <w:iCs w:val="0"/>
        </w:rPr>
        <w:t>our</w:t>
      </w:r>
      <w:r w:rsidR="00292EA2">
        <w:rPr>
          <w:i w:val="0"/>
          <w:iCs w:val="0"/>
        </w:rPr>
        <w:t>s</w:t>
      </w:r>
      <w:r w:rsidR="00C23236">
        <w:rPr>
          <w:i w:val="0"/>
          <w:iCs w:val="0"/>
        </w:rPr>
        <w:t xml:space="preserve"> own</w:t>
      </w:r>
      <w:r>
        <w:rPr>
          <w:i w:val="0"/>
          <w:iCs w:val="0"/>
        </w:rPr>
        <w:t>.</w:t>
      </w:r>
      <w:r>
        <w:t xml:space="preserve"> </w:t>
      </w:r>
      <w:r>
        <w:rPr>
          <w:i w:val="0"/>
          <w:iCs w:val="0"/>
        </w:rPr>
        <w:t>[</w:t>
      </w:r>
      <w:r w:rsidR="00FD3267">
        <w:rPr>
          <w:i w:val="0"/>
          <w:iCs w:val="0"/>
        </w:rPr>
        <w:t>W</w:t>
      </w:r>
      <w:r>
        <w:rPr>
          <w:i w:val="0"/>
          <w:iCs w:val="0"/>
        </w:rPr>
        <w:t>e have entered into supplemental contract</w:t>
      </w:r>
      <w:r w:rsidR="00C23236">
        <w:rPr>
          <w:i w:val="0"/>
          <w:iCs w:val="0"/>
        </w:rPr>
        <w:t>s</w:t>
      </w:r>
      <w:r>
        <w:rPr>
          <w:i w:val="0"/>
          <w:iCs w:val="0"/>
        </w:rPr>
        <w:t xml:space="preserve"> with </w:t>
      </w:r>
      <w:r w:rsidR="00292EA2">
        <w:rPr>
          <w:i w:val="0"/>
          <w:iCs w:val="0"/>
        </w:rPr>
        <w:t xml:space="preserve">other </w:t>
      </w:r>
      <w:r>
        <w:rPr>
          <w:i w:val="0"/>
          <w:iCs w:val="0"/>
        </w:rPr>
        <w:t xml:space="preserve">critical business constituents to provide such </w:t>
      </w:r>
      <w:r w:rsidR="007C3D02">
        <w:rPr>
          <w:i w:val="0"/>
          <w:iCs w:val="0"/>
        </w:rPr>
        <w:t xml:space="preserve">goods or </w:t>
      </w:r>
      <w:r>
        <w:rPr>
          <w:i w:val="0"/>
          <w:iCs w:val="0"/>
        </w:rPr>
        <w:t>services. The alternate suppliers are disclosed below.]</w:t>
      </w:r>
    </w:p>
    <w:p w14:paraId="02FF1CEF" w14:textId="78D69801" w:rsidR="00C934ED" w:rsidRDefault="00C934ED">
      <w:pPr>
        <w:rPr>
          <w:color w:val="000000"/>
        </w:rPr>
      </w:pPr>
      <w:r>
        <w:rPr>
          <w:i/>
          <w:u w:val="single"/>
        </w:rPr>
        <w:t>Rule:</w:t>
      </w:r>
      <w:r w:rsidR="00034153">
        <w:rPr>
          <w:i/>
        </w:rPr>
        <w:t xml:space="preserve"> </w:t>
      </w:r>
      <w:r w:rsidR="000245ED">
        <w:rPr>
          <w:i/>
        </w:rPr>
        <w:t>FINRA Rule 4370</w:t>
      </w:r>
      <w:r>
        <w:rPr>
          <w:i/>
        </w:rPr>
        <w:t>(c)(7).</w:t>
      </w:r>
    </w:p>
    <w:p w14:paraId="10059BFF" w14:textId="77777777" w:rsidR="00C934ED" w:rsidRDefault="00C934ED">
      <w:pPr>
        <w:rPr>
          <w:color w:val="000000"/>
        </w:rPr>
      </w:pPr>
    </w:p>
    <w:p w14:paraId="423E4EB2" w14:textId="77777777" w:rsidR="00C934ED" w:rsidRDefault="00C934ED" w:rsidP="00CD189C">
      <w:pPr>
        <w:pStyle w:val="Heading2"/>
        <w:tabs>
          <w:tab w:val="clear" w:pos="1080"/>
        </w:tabs>
        <w:ind w:left="1440" w:hanging="720"/>
      </w:pPr>
      <w:r>
        <w:t>Banks</w:t>
      </w:r>
    </w:p>
    <w:p w14:paraId="6B5DD0F6" w14:textId="77777777" w:rsidR="00C934ED" w:rsidRDefault="00C934ED">
      <w:pPr>
        <w:rPr>
          <w:i/>
          <w:iCs/>
          <w:color w:val="000000"/>
        </w:rPr>
      </w:pPr>
    </w:p>
    <w:p w14:paraId="09266674" w14:textId="58B0DC20" w:rsidR="00C934ED" w:rsidRDefault="00C934ED">
      <w:pPr>
        <w:rPr>
          <w:color w:val="000000"/>
        </w:rPr>
      </w:pPr>
      <w:r>
        <w:rPr>
          <w:i/>
          <w:iCs/>
          <w:color w:val="000000"/>
        </w:rPr>
        <w:t xml:space="preserve">TEXT EXAMPLE: </w:t>
      </w:r>
      <w:r w:rsidR="007C3D02">
        <w:rPr>
          <w:iCs/>
          <w:color w:val="000000"/>
        </w:rPr>
        <w:t xml:space="preserve">In the event of an SBD </w:t>
      </w:r>
      <w:r w:rsidR="001C0FA5">
        <w:rPr>
          <w:iCs/>
          <w:color w:val="000000"/>
        </w:rPr>
        <w:t>related to</w:t>
      </w:r>
      <w:r w:rsidR="007C3D02">
        <w:rPr>
          <w:iCs/>
          <w:color w:val="000000"/>
        </w:rPr>
        <w:t xml:space="preserve"> our financing, we will contact </w:t>
      </w:r>
      <w:r>
        <w:rPr>
          <w:color w:val="000000"/>
        </w:rPr>
        <w:t>our banks and lenders to determine if they can continue to provide the financing.</w:t>
      </w:r>
      <w:r w:rsidR="00034153">
        <w:rPr>
          <w:color w:val="000000"/>
        </w:rPr>
        <w:t xml:space="preserve"> </w:t>
      </w:r>
      <w:r>
        <w:rPr>
          <w:color w:val="000000"/>
        </w:rPr>
        <w:t>The bank maintaining our operating account is: [</w:t>
      </w:r>
      <w:r w:rsidRPr="00710A74">
        <w:rPr>
          <w:iCs/>
          <w:color w:val="000000"/>
        </w:rPr>
        <w:t>list bank name, address, phone number and contact</w:t>
      </w:r>
      <w:r>
        <w:rPr>
          <w:color w:val="000000"/>
        </w:rPr>
        <w:t>]. The bank maintaining our Proprietary Account of Introducing Brokers/Dealers (PAIB account) is [</w:t>
      </w:r>
      <w:r w:rsidRPr="00710A74">
        <w:rPr>
          <w:iCs/>
          <w:color w:val="000000"/>
        </w:rPr>
        <w:t>list bank name, address, phone number and contact</w:t>
      </w:r>
      <w:r>
        <w:rPr>
          <w:color w:val="000000"/>
        </w:rPr>
        <w:t>]. If our banks and other lenders are unable to provide the financing, we will seek alternative financing immediately from [</w:t>
      </w:r>
      <w:r w:rsidRPr="00710A74">
        <w:rPr>
          <w:iCs/>
          <w:color w:val="000000"/>
        </w:rPr>
        <w:t>bank/lender name, address and phone numbers</w:t>
      </w:r>
      <w:r>
        <w:rPr>
          <w:color w:val="000000"/>
        </w:rPr>
        <w:t>].</w:t>
      </w:r>
    </w:p>
    <w:p w14:paraId="21353800" w14:textId="77777777" w:rsidR="00C934ED" w:rsidRDefault="00C934ED">
      <w:pPr>
        <w:rPr>
          <w:color w:val="000000"/>
        </w:rPr>
      </w:pPr>
    </w:p>
    <w:p w14:paraId="778BAC30" w14:textId="77777777" w:rsidR="00C934ED" w:rsidRDefault="00C934ED">
      <w:pPr>
        <w:rPr>
          <w:color w:val="000000"/>
        </w:rPr>
      </w:pPr>
    </w:p>
    <w:p w14:paraId="445994D7" w14:textId="1B21F179" w:rsidR="00C934ED" w:rsidRDefault="00C934ED" w:rsidP="00CD189C">
      <w:pPr>
        <w:pStyle w:val="Heading2"/>
        <w:tabs>
          <w:tab w:val="clear" w:pos="1080"/>
        </w:tabs>
        <w:ind w:left="1440" w:hanging="720"/>
      </w:pPr>
      <w:r>
        <w:lastRenderedPageBreak/>
        <w:t>Counter</w:t>
      </w:r>
      <w:r w:rsidRPr="00710A74">
        <w:t>-</w:t>
      </w:r>
      <w:r>
        <w:t>Parties</w:t>
      </w:r>
    </w:p>
    <w:p w14:paraId="3BAFC90F" w14:textId="77777777" w:rsidR="00C934ED" w:rsidRDefault="00C934ED">
      <w:pPr>
        <w:rPr>
          <w:i/>
          <w:iCs/>
          <w:color w:val="000000"/>
        </w:rPr>
      </w:pPr>
    </w:p>
    <w:p w14:paraId="61C10CD4" w14:textId="657E4AD2" w:rsidR="00C934ED" w:rsidRDefault="00C934ED">
      <w:pPr>
        <w:rPr>
          <w:color w:val="000000"/>
        </w:rPr>
      </w:pPr>
      <w:r>
        <w:rPr>
          <w:i/>
          <w:iCs/>
          <w:color w:val="000000"/>
        </w:rPr>
        <w:t xml:space="preserve">TEXT EXAMPLE: </w:t>
      </w:r>
      <w:r w:rsidR="001C0FA5">
        <w:rPr>
          <w:iCs/>
          <w:color w:val="000000"/>
        </w:rPr>
        <w:t xml:space="preserve">In the event of an SBD related to our financing, we will contact </w:t>
      </w:r>
      <w:r>
        <w:rPr>
          <w:color w:val="000000"/>
        </w:rPr>
        <w:t>our critical counter</w:t>
      </w:r>
      <w:r w:rsidR="0050637C">
        <w:rPr>
          <w:color w:val="000000"/>
        </w:rPr>
        <w:t>-</w:t>
      </w:r>
      <w:r>
        <w:rPr>
          <w:color w:val="000000"/>
        </w:rPr>
        <w:t xml:space="preserve">parties, such as other broker-dealers or institutional customers, to determine if we will be able to carry out our transactions with them in light of the SBD. Where the transactions cannot be completed, we will work with our clearing </w:t>
      </w:r>
      <w:r w:rsidR="00963590">
        <w:rPr>
          <w:color w:val="000000"/>
        </w:rPr>
        <w:t>County</w:t>
      </w:r>
      <w:r>
        <w:rPr>
          <w:color w:val="000000"/>
        </w:rPr>
        <w:t xml:space="preserve"> or contact those </w:t>
      </w:r>
      <w:r w:rsidRPr="002573CB">
        <w:rPr>
          <w:color w:val="000000"/>
        </w:rPr>
        <w:t>counte</w:t>
      </w:r>
      <w:r w:rsidRPr="00710A74">
        <w:rPr>
          <w:color w:val="000000"/>
        </w:rPr>
        <w:t>r</w:t>
      </w:r>
      <w:r w:rsidR="002573CB" w:rsidRPr="00710A74">
        <w:rPr>
          <w:color w:val="000000"/>
        </w:rPr>
        <w:t>-</w:t>
      </w:r>
      <w:r w:rsidRPr="00710A74">
        <w:rPr>
          <w:color w:val="000000"/>
        </w:rPr>
        <w:t>p</w:t>
      </w:r>
      <w:r w:rsidRPr="002573CB">
        <w:rPr>
          <w:color w:val="000000"/>
        </w:rPr>
        <w:t>arties</w:t>
      </w:r>
      <w:r>
        <w:rPr>
          <w:color w:val="000000"/>
        </w:rPr>
        <w:t xml:space="preserve"> directly to make alternative arrangements to complete those transactions as soon as possible. </w:t>
      </w:r>
    </w:p>
    <w:p w14:paraId="46160CB0" w14:textId="77777777" w:rsidR="00C934ED" w:rsidRDefault="00C934ED">
      <w:pPr>
        <w:rPr>
          <w:color w:val="000000"/>
        </w:rPr>
      </w:pPr>
    </w:p>
    <w:p w14:paraId="0D25A3CE" w14:textId="77777777" w:rsidR="00C934ED" w:rsidRDefault="00C934ED">
      <w:pPr>
        <w:rPr>
          <w:color w:val="000000"/>
        </w:rPr>
      </w:pPr>
    </w:p>
    <w:p w14:paraId="7809CA22" w14:textId="77777777" w:rsidR="00C934ED" w:rsidRDefault="00C934ED" w:rsidP="00CD189C">
      <w:pPr>
        <w:pStyle w:val="Heading1"/>
        <w:tabs>
          <w:tab w:val="clear" w:pos="360"/>
        </w:tabs>
        <w:ind w:left="720" w:hanging="720"/>
      </w:pPr>
      <w:r>
        <w:t>Regulatory Reporting</w:t>
      </w:r>
    </w:p>
    <w:p w14:paraId="2A9C7250" w14:textId="77777777" w:rsidR="00C934ED" w:rsidRDefault="00C934ED"/>
    <w:p w14:paraId="4EDA398F" w14:textId="34B0DEAA" w:rsidR="00C934ED" w:rsidRDefault="00C934ED">
      <w:pPr>
        <w:rPr>
          <w:i/>
          <w:iCs/>
          <w:color w:val="000000"/>
        </w:rPr>
      </w:pPr>
      <w:r>
        <w:rPr>
          <w:i/>
          <w:iCs/>
          <w:color w:val="000000"/>
        </w:rPr>
        <w:t xml:space="preserve">Describe how your </w:t>
      </w:r>
      <w:r w:rsidR="00963590">
        <w:rPr>
          <w:i/>
          <w:iCs/>
          <w:color w:val="000000"/>
        </w:rPr>
        <w:t>County</w:t>
      </w:r>
      <w:r>
        <w:rPr>
          <w:i/>
          <w:iCs/>
          <w:color w:val="000000"/>
        </w:rPr>
        <w:t xml:space="preserve"> will file its regulatory reports in the event of an SBD.   </w:t>
      </w:r>
    </w:p>
    <w:p w14:paraId="24DEFC44" w14:textId="77777777" w:rsidR="00C934ED" w:rsidRDefault="00C934ED">
      <w:pPr>
        <w:rPr>
          <w:i/>
          <w:iCs/>
          <w:color w:val="000000"/>
        </w:rPr>
      </w:pPr>
    </w:p>
    <w:p w14:paraId="6D68BBFE" w14:textId="3ACB8F70" w:rsidR="00347CCD" w:rsidRDefault="00C934ED">
      <w:r>
        <w:rPr>
          <w:i/>
          <w:iCs/>
        </w:rPr>
        <w:t>TEXT EXAMPLE:</w:t>
      </w:r>
      <w:r w:rsidR="00034153">
        <w:rPr>
          <w:i/>
          <w:iCs/>
        </w:rPr>
        <w:t xml:space="preserve"> </w:t>
      </w:r>
      <w:r>
        <w:t xml:space="preserve">Our </w:t>
      </w:r>
      <w:r w:rsidR="00963590">
        <w:t>County</w:t>
      </w:r>
      <w:r>
        <w:t xml:space="preserve"> is subject to regulation by: [</w:t>
      </w:r>
      <w:r w:rsidRPr="00710A74">
        <w:rPr>
          <w:iCs/>
        </w:rPr>
        <w:t xml:space="preserve">insert list of </w:t>
      </w:r>
      <w:r w:rsidR="0082363A" w:rsidRPr="00710A74">
        <w:rPr>
          <w:iCs/>
        </w:rPr>
        <w:t xml:space="preserve">applicable </w:t>
      </w:r>
      <w:r w:rsidRPr="00710A74">
        <w:rPr>
          <w:iCs/>
        </w:rPr>
        <w:t>federal</w:t>
      </w:r>
      <w:r w:rsidR="0082363A" w:rsidRPr="00710A74">
        <w:rPr>
          <w:iCs/>
        </w:rPr>
        <w:t>, self-regulatory organization</w:t>
      </w:r>
      <w:r w:rsidRPr="00710A74">
        <w:rPr>
          <w:iCs/>
        </w:rPr>
        <w:t xml:space="preserve"> and state securities regulators</w:t>
      </w:r>
      <w:r>
        <w:rPr>
          <w:i/>
          <w:iCs/>
        </w:rPr>
        <w:t>.</w:t>
      </w:r>
      <w:r>
        <w:t xml:space="preserve">] We </w:t>
      </w:r>
      <w:r w:rsidR="00BF017F">
        <w:t>fulfill our regulatory reporting obligations [</w:t>
      </w:r>
      <w:r>
        <w:t>using paper copies in the U.S. mail, electronic</w:t>
      </w:r>
      <w:r w:rsidR="0050637C">
        <w:t xml:space="preserve"> means</w:t>
      </w:r>
      <w:r w:rsidR="00BF017F">
        <w:t>]</w:t>
      </w:r>
      <w:r>
        <w:t xml:space="preserve">. </w:t>
      </w:r>
    </w:p>
    <w:p w14:paraId="36EC558F" w14:textId="77777777" w:rsidR="00347CCD" w:rsidRDefault="00347CCD"/>
    <w:p w14:paraId="13C09142" w14:textId="215E0D04" w:rsidR="00A23FC1" w:rsidRDefault="00BF017F">
      <w:r w:rsidRPr="00BF017F">
        <w:t xml:space="preserve">In the event of an SBD, we will identify whether there are any limitations on our ability to </w:t>
      </w:r>
      <w:r>
        <w:t>fulfill our regulatory reporting obligations</w:t>
      </w:r>
      <w:r w:rsidRPr="00BF017F">
        <w:t>. Depending on the limitat</w:t>
      </w:r>
      <w:r w:rsidR="00BD111B">
        <w:t>ions, we will employ alternate</w:t>
      </w:r>
      <w:r w:rsidRPr="00BF017F">
        <w:t xml:space="preserve"> modes of communication, including [our website, phone or email], </w:t>
      </w:r>
      <w:r>
        <w:t>to communicate with regulators in fulfilling our regulatory reporting obligations</w:t>
      </w:r>
      <w:r w:rsidRPr="00BF017F">
        <w:t xml:space="preserve">. </w:t>
      </w:r>
      <w:r>
        <w:t xml:space="preserve">In the event we are unable to fulfill a regulatory reporting obligation </w:t>
      </w:r>
      <w:r w:rsidR="00A23FC1">
        <w:t>in a timely manner we will notify our regulator at:</w:t>
      </w:r>
    </w:p>
    <w:p w14:paraId="27341086" w14:textId="77777777" w:rsidR="00A23FC1" w:rsidRDefault="00A23FC1"/>
    <w:tbl>
      <w:tblPr>
        <w:tblStyle w:val="TableGrid"/>
        <w:tblW w:w="0" w:type="auto"/>
        <w:tblInd w:w="0" w:type="dxa"/>
        <w:tblLook w:val="04A0" w:firstRow="1" w:lastRow="0" w:firstColumn="1" w:lastColumn="0" w:noHBand="0" w:noVBand="1"/>
      </w:tblPr>
      <w:tblGrid>
        <w:gridCol w:w="2876"/>
        <w:gridCol w:w="2877"/>
        <w:gridCol w:w="2877"/>
      </w:tblGrid>
      <w:tr w:rsidR="00A23FC1" w14:paraId="75A73949" w14:textId="77777777" w:rsidTr="00710A74">
        <w:tc>
          <w:tcPr>
            <w:tcW w:w="2876" w:type="dxa"/>
            <w:shd w:val="clear" w:color="auto" w:fill="C6D9F1" w:themeFill="text2" w:themeFillTint="33"/>
          </w:tcPr>
          <w:p w14:paraId="0374C5DA" w14:textId="0C7C9FC8" w:rsidR="00A23FC1" w:rsidRPr="00710A74" w:rsidRDefault="00A23FC1">
            <w:pPr>
              <w:rPr>
                <w:b/>
              </w:rPr>
            </w:pPr>
            <w:r w:rsidRPr="00710A74">
              <w:rPr>
                <w:b/>
              </w:rPr>
              <w:t>Regulator</w:t>
            </w:r>
          </w:p>
        </w:tc>
        <w:tc>
          <w:tcPr>
            <w:tcW w:w="2877" w:type="dxa"/>
            <w:shd w:val="clear" w:color="auto" w:fill="C6D9F1" w:themeFill="text2" w:themeFillTint="33"/>
          </w:tcPr>
          <w:p w14:paraId="31D6E316" w14:textId="65E0B627" w:rsidR="00A23FC1" w:rsidRPr="00710A74" w:rsidRDefault="00A23FC1">
            <w:pPr>
              <w:rPr>
                <w:b/>
              </w:rPr>
            </w:pPr>
            <w:r w:rsidRPr="00710A74">
              <w:rPr>
                <w:b/>
              </w:rPr>
              <w:t>Contact Person</w:t>
            </w:r>
          </w:p>
        </w:tc>
        <w:tc>
          <w:tcPr>
            <w:tcW w:w="2877" w:type="dxa"/>
            <w:shd w:val="clear" w:color="auto" w:fill="C6D9F1" w:themeFill="text2" w:themeFillTint="33"/>
          </w:tcPr>
          <w:p w14:paraId="1BD280E3" w14:textId="73A1DE7D" w:rsidR="00A23FC1" w:rsidRPr="00710A74" w:rsidRDefault="00A23FC1">
            <w:pPr>
              <w:rPr>
                <w:b/>
              </w:rPr>
            </w:pPr>
            <w:r w:rsidRPr="00710A74">
              <w:rPr>
                <w:b/>
              </w:rPr>
              <w:t>Contact Information</w:t>
            </w:r>
          </w:p>
        </w:tc>
      </w:tr>
      <w:tr w:rsidR="00A23FC1" w14:paraId="7B4A1617" w14:textId="77777777" w:rsidTr="00A23FC1">
        <w:tc>
          <w:tcPr>
            <w:tcW w:w="2876" w:type="dxa"/>
          </w:tcPr>
          <w:p w14:paraId="2B4DA7E5" w14:textId="64C0BD0B" w:rsidR="00A23FC1" w:rsidRDefault="00207656">
            <w:r>
              <w:t>CORSA</w:t>
            </w:r>
          </w:p>
        </w:tc>
        <w:tc>
          <w:tcPr>
            <w:tcW w:w="2877" w:type="dxa"/>
          </w:tcPr>
          <w:p w14:paraId="5D2ED821" w14:textId="1D7F088B" w:rsidR="00A23FC1" w:rsidRDefault="00A23FC1">
            <w:r>
              <w:t>[Risk Monitoring Analyst]</w:t>
            </w:r>
          </w:p>
        </w:tc>
        <w:tc>
          <w:tcPr>
            <w:tcW w:w="2877" w:type="dxa"/>
          </w:tcPr>
          <w:p w14:paraId="69263EF4" w14:textId="77777777" w:rsidR="00A23FC1" w:rsidRDefault="00A23FC1"/>
        </w:tc>
      </w:tr>
      <w:tr w:rsidR="00A23FC1" w14:paraId="5BB9735A" w14:textId="77777777" w:rsidTr="00A23FC1">
        <w:tc>
          <w:tcPr>
            <w:tcW w:w="2876" w:type="dxa"/>
          </w:tcPr>
          <w:p w14:paraId="643E6F6F" w14:textId="1C47A05B" w:rsidR="00A23FC1" w:rsidRDefault="00207656">
            <w:r>
              <w:t>FBI</w:t>
            </w:r>
          </w:p>
        </w:tc>
        <w:tc>
          <w:tcPr>
            <w:tcW w:w="2877" w:type="dxa"/>
          </w:tcPr>
          <w:p w14:paraId="4A45D190" w14:textId="77777777" w:rsidR="00A23FC1" w:rsidRDefault="00A23FC1"/>
        </w:tc>
        <w:tc>
          <w:tcPr>
            <w:tcW w:w="2877" w:type="dxa"/>
          </w:tcPr>
          <w:p w14:paraId="73854BCA" w14:textId="77777777" w:rsidR="00A23FC1" w:rsidRDefault="00A23FC1"/>
        </w:tc>
      </w:tr>
      <w:tr w:rsidR="00A23FC1" w14:paraId="23ACB87F" w14:textId="77777777" w:rsidTr="00A23FC1">
        <w:tc>
          <w:tcPr>
            <w:tcW w:w="2876" w:type="dxa"/>
          </w:tcPr>
          <w:p w14:paraId="748B1DFB" w14:textId="17F99922" w:rsidR="00A23FC1" w:rsidRDefault="00A23FC1">
            <w:r>
              <w:t>[State]</w:t>
            </w:r>
          </w:p>
        </w:tc>
        <w:tc>
          <w:tcPr>
            <w:tcW w:w="2877" w:type="dxa"/>
          </w:tcPr>
          <w:p w14:paraId="180A21AB" w14:textId="77777777" w:rsidR="00A23FC1" w:rsidRDefault="00A23FC1"/>
        </w:tc>
        <w:tc>
          <w:tcPr>
            <w:tcW w:w="2877" w:type="dxa"/>
          </w:tcPr>
          <w:p w14:paraId="57BA5DC8" w14:textId="77777777" w:rsidR="00A23FC1" w:rsidRDefault="00A23FC1"/>
        </w:tc>
      </w:tr>
    </w:tbl>
    <w:p w14:paraId="7253443D" w14:textId="77777777" w:rsidR="00C934ED" w:rsidRDefault="00C934ED"/>
    <w:p w14:paraId="1A886C5F" w14:textId="77777777" w:rsidR="00C934ED" w:rsidRDefault="00C934ED"/>
    <w:p w14:paraId="7EB2435D" w14:textId="78DDC0E8" w:rsidR="00C934ED" w:rsidRDefault="00C934ED" w:rsidP="00CD189C">
      <w:pPr>
        <w:pStyle w:val="Heading1"/>
        <w:tabs>
          <w:tab w:val="clear" w:pos="360"/>
        </w:tabs>
        <w:ind w:left="720" w:hanging="720"/>
      </w:pPr>
      <w:r>
        <w:t>Updates and Annual Review</w:t>
      </w:r>
    </w:p>
    <w:p w14:paraId="17CF323C" w14:textId="77777777" w:rsidR="00C934ED" w:rsidRDefault="00C934ED"/>
    <w:p w14:paraId="02C6ED8F" w14:textId="0D891A58" w:rsidR="00C934ED" w:rsidRDefault="00C934ED">
      <w:pPr>
        <w:rPr>
          <w:i/>
          <w:iCs/>
        </w:rPr>
      </w:pPr>
      <w:r>
        <w:rPr>
          <w:i/>
          <w:iCs/>
        </w:rPr>
        <w:t>Describe</w:t>
      </w:r>
      <w:r w:rsidR="00FD3267">
        <w:rPr>
          <w:i/>
          <w:iCs/>
        </w:rPr>
        <w:t xml:space="preserve"> how</w:t>
      </w:r>
      <w:r>
        <w:rPr>
          <w:i/>
          <w:iCs/>
        </w:rPr>
        <w:t xml:space="preserve"> your </w:t>
      </w:r>
      <w:r w:rsidR="00963590">
        <w:rPr>
          <w:i/>
          <w:iCs/>
        </w:rPr>
        <w:t>County</w:t>
      </w:r>
      <w:r w:rsidR="00BB122B">
        <w:rPr>
          <w:i/>
          <w:iCs/>
        </w:rPr>
        <w:t xml:space="preserve"> updates and conducts the</w:t>
      </w:r>
      <w:r w:rsidR="00FD3267">
        <w:rPr>
          <w:i/>
          <w:iCs/>
        </w:rPr>
        <w:t xml:space="preserve"> </w:t>
      </w:r>
      <w:r>
        <w:rPr>
          <w:i/>
          <w:iCs/>
        </w:rPr>
        <w:t>annual review of your BCP.</w:t>
      </w:r>
    </w:p>
    <w:p w14:paraId="24943E8C" w14:textId="77777777" w:rsidR="00C934ED" w:rsidRDefault="00C934ED">
      <w:pPr>
        <w:pStyle w:val="Header"/>
        <w:tabs>
          <w:tab w:val="clear" w:pos="4320"/>
          <w:tab w:val="clear" w:pos="8640"/>
        </w:tabs>
      </w:pPr>
    </w:p>
    <w:p w14:paraId="66305228" w14:textId="17ADD70F" w:rsidR="00C934ED" w:rsidRDefault="00C934ED">
      <w:r>
        <w:rPr>
          <w:i/>
          <w:iCs/>
        </w:rPr>
        <w:t>TEXT EXAMPLE:</w:t>
      </w:r>
      <w:r w:rsidR="00034153">
        <w:t xml:space="preserve"> </w:t>
      </w:r>
      <w:r>
        <w:t xml:space="preserve">Our </w:t>
      </w:r>
      <w:r w:rsidR="00963590">
        <w:t>County</w:t>
      </w:r>
      <w:r>
        <w:t xml:space="preserve"> will update this plan whenever we have a material change to our operations, structure, business or location or to those of our clearing </w:t>
      </w:r>
      <w:r w:rsidR="00963590">
        <w:t>County</w:t>
      </w:r>
      <w:r>
        <w:t xml:space="preserve">. In addition, our </w:t>
      </w:r>
      <w:r w:rsidR="00963590">
        <w:t>County</w:t>
      </w:r>
      <w:r>
        <w:t xml:space="preserve"> will review this BCP annually, on [</w:t>
      </w:r>
      <w:r w:rsidRPr="00710A74">
        <w:rPr>
          <w:iCs/>
        </w:rPr>
        <w:t>date</w:t>
      </w:r>
      <w:r>
        <w:t xml:space="preserve">], to </w:t>
      </w:r>
      <w:r w:rsidR="00BB122B">
        <w:t xml:space="preserve">determine whether </w:t>
      </w:r>
      <w:r>
        <w:t xml:space="preserve">any </w:t>
      </w:r>
      <w:r w:rsidR="00BB122B">
        <w:t xml:space="preserve">modification are necessary due to changes </w:t>
      </w:r>
      <w:r>
        <w:t xml:space="preserve">in our operations, structure, business or location or those of our clearing </w:t>
      </w:r>
      <w:r w:rsidR="00963590">
        <w:t>County</w:t>
      </w:r>
      <w:r>
        <w:t>.</w:t>
      </w:r>
      <w:r w:rsidR="00710A74">
        <w:t xml:space="preserve">  </w:t>
      </w:r>
      <w:r w:rsidR="00710A74" w:rsidRPr="00710A74">
        <w:t xml:space="preserve">[As part of our annual review, we will conduct a </w:t>
      </w:r>
      <w:r w:rsidR="00963590">
        <w:t>County</w:t>
      </w:r>
      <w:r w:rsidR="00710A74" w:rsidRPr="00710A74">
        <w:t>-wide test of our BCP.]</w:t>
      </w:r>
      <w:r>
        <w:t xml:space="preserve"> </w:t>
      </w:r>
    </w:p>
    <w:p w14:paraId="07F91E6B" w14:textId="77777777" w:rsidR="00C934ED" w:rsidRDefault="00C934ED"/>
    <w:p w14:paraId="7B10A604" w14:textId="3B81F5D8" w:rsidR="00C934ED" w:rsidRDefault="00C934ED" w:rsidP="00CD189C">
      <w:pPr>
        <w:pStyle w:val="Heading1"/>
        <w:tabs>
          <w:tab w:val="clear" w:pos="360"/>
        </w:tabs>
        <w:ind w:left="720" w:hanging="720"/>
      </w:pPr>
      <w:r>
        <w:t>Senior Manager Approval</w:t>
      </w:r>
    </w:p>
    <w:p w14:paraId="48BDDBAB" w14:textId="77777777" w:rsidR="00C934ED" w:rsidRDefault="00C934ED"/>
    <w:p w14:paraId="36A0FE79" w14:textId="024F916B" w:rsidR="00C934ED" w:rsidRDefault="00C934ED">
      <w:pPr>
        <w:rPr>
          <w:i/>
        </w:rPr>
      </w:pPr>
      <w:r>
        <w:rPr>
          <w:i/>
        </w:rPr>
        <w:lastRenderedPageBreak/>
        <w:t xml:space="preserve">Approve the </w:t>
      </w:r>
      <w:r w:rsidR="00963590">
        <w:rPr>
          <w:i/>
        </w:rPr>
        <w:t>County</w:t>
      </w:r>
      <w:r>
        <w:rPr>
          <w:i/>
        </w:rPr>
        <w:t>’s BCP by signing below.</w:t>
      </w:r>
    </w:p>
    <w:p w14:paraId="594F2925" w14:textId="0C2F4393" w:rsidR="00C934ED" w:rsidRDefault="004A5A67" w:rsidP="00710A74">
      <w:pPr>
        <w:tabs>
          <w:tab w:val="left" w:pos="2712"/>
        </w:tabs>
      </w:pPr>
      <w:r>
        <w:tab/>
      </w:r>
    </w:p>
    <w:p w14:paraId="4CEA4B54" w14:textId="73B0DE41" w:rsidR="00C934ED" w:rsidRDefault="00C934ED">
      <w:r>
        <w:rPr>
          <w:i/>
        </w:rPr>
        <w:t>TEXT EXAMPLE</w:t>
      </w:r>
      <w:r>
        <w:t>:</w:t>
      </w:r>
      <w:r w:rsidR="00034153">
        <w:t xml:space="preserve"> </w:t>
      </w:r>
      <w:r>
        <w:t xml:space="preserve">I have approved this Business Continuity Plan as reasonably designed to enable our </w:t>
      </w:r>
      <w:r w:rsidR="00963590">
        <w:t>County</w:t>
      </w:r>
      <w:r>
        <w:t xml:space="preserve"> to meet its obligations to customers in the event of an SBD.</w:t>
      </w:r>
    </w:p>
    <w:p w14:paraId="284D51D9" w14:textId="77777777" w:rsidR="00C934ED" w:rsidRDefault="00C934ED"/>
    <w:p w14:paraId="3949B2A5" w14:textId="77777777" w:rsidR="00C934ED" w:rsidRDefault="00C934ED"/>
    <w:p w14:paraId="5B57425A" w14:textId="77777777" w:rsidR="00C934ED" w:rsidRDefault="00C934ED">
      <w:r>
        <w:t>Signed:</w:t>
      </w:r>
      <w:r>
        <w:tab/>
        <w:t>_______________________________</w:t>
      </w:r>
    </w:p>
    <w:p w14:paraId="3D994B71" w14:textId="77777777" w:rsidR="00C934ED" w:rsidRDefault="00C934ED"/>
    <w:p w14:paraId="3CEFF23C" w14:textId="77777777" w:rsidR="00C934ED" w:rsidRDefault="00C934ED">
      <w:r>
        <w:t>Title:</w:t>
      </w:r>
      <w:r>
        <w:tab/>
      </w:r>
      <w:r>
        <w:tab/>
        <w:t>_______________________________</w:t>
      </w:r>
    </w:p>
    <w:p w14:paraId="5C2CCCE0" w14:textId="77777777" w:rsidR="00C934ED" w:rsidRDefault="00C934ED"/>
    <w:p w14:paraId="3DBC887D" w14:textId="77777777" w:rsidR="00C934ED" w:rsidRDefault="00C934ED">
      <w:r>
        <w:t xml:space="preserve">Date: </w:t>
      </w:r>
      <w:r>
        <w:tab/>
      </w:r>
      <w:r>
        <w:tab/>
        <w:t>_______________________________</w:t>
      </w:r>
    </w:p>
    <w:p w14:paraId="04CCF875" w14:textId="5A924517" w:rsidR="005B6425" w:rsidRDefault="00AF032E" w:rsidP="005B6425">
      <w:pPr>
        <w:pStyle w:val="Heading1"/>
        <w:numPr>
          <w:ilvl w:val="0"/>
          <w:numId w:val="0"/>
        </w:numPr>
        <w:jc w:val="right"/>
      </w:pPr>
      <w:r>
        <w:br w:type="page"/>
      </w:r>
      <w:r w:rsidR="005B6425" w:rsidRPr="005B6425">
        <w:rPr>
          <w:b w:val="0"/>
          <w:bCs w:val="0"/>
          <w:sz w:val="22"/>
          <w:szCs w:val="21"/>
        </w:rPr>
        <w:lastRenderedPageBreak/>
        <w:t xml:space="preserve">Attachment </w:t>
      </w:r>
      <w:r w:rsidR="00607CBA">
        <w:rPr>
          <w:b w:val="0"/>
          <w:bCs w:val="0"/>
          <w:sz w:val="22"/>
          <w:szCs w:val="21"/>
        </w:rPr>
        <w:t xml:space="preserve">A </w:t>
      </w:r>
      <w:r w:rsidR="005B6425" w:rsidRPr="005B6425">
        <w:rPr>
          <w:b w:val="0"/>
          <w:bCs w:val="0"/>
          <w:sz w:val="22"/>
          <w:szCs w:val="21"/>
        </w:rPr>
        <w:t>to [</w:t>
      </w:r>
      <w:r w:rsidR="00963590">
        <w:rPr>
          <w:b w:val="0"/>
          <w:bCs w:val="0"/>
          <w:i/>
          <w:sz w:val="22"/>
          <w:szCs w:val="21"/>
        </w:rPr>
        <w:t>County</w:t>
      </w:r>
      <w:r w:rsidR="00397E4C" w:rsidRPr="00397E4C">
        <w:rPr>
          <w:b w:val="0"/>
          <w:bCs w:val="0"/>
          <w:i/>
          <w:sz w:val="22"/>
          <w:szCs w:val="21"/>
        </w:rPr>
        <w:t xml:space="preserve"> Name</w:t>
      </w:r>
      <w:r w:rsidR="005B6425" w:rsidRPr="005B6425">
        <w:rPr>
          <w:b w:val="0"/>
          <w:bCs w:val="0"/>
          <w:sz w:val="22"/>
          <w:szCs w:val="21"/>
        </w:rPr>
        <w:t>] Business Continuity Plan</w:t>
      </w:r>
    </w:p>
    <w:p w14:paraId="46645A33" w14:textId="77777777" w:rsidR="00AC5D11" w:rsidRDefault="00AC5D11" w:rsidP="00AC5D11">
      <w:pPr>
        <w:pStyle w:val="Heading1"/>
        <w:numPr>
          <w:ilvl w:val="0"/>
          <w:numId w:val="0"/>
        </w:numPr>
        <w:rPr>
          <w:b w:val="0"/>
          <w:bCs w:val="0"/>
          <w:i/>
          <w:iCs/>
          <w:sz w:val="25"/>
          <w:szCs w:val="25"/>
          <w:u w:val="none"/>
        </w:rPr>
      </w:pPr>
    </w:p>
    <w:p w14:paraId="12E52B20" w14:textId="72641E10" w:rsidR="00AC5D11" w:rsidRDefault="00AC5D11" w:rsidP="00AC5D11">
      <w:pPr>
        <w:pStyle w:val="Heading1"/>
        <w:numPr>
          <w:ilvl w:val="0"/>
          <w:numId w:val="0"/>
        </w:numPr>
        <w:rPr>
          <w:b w:val="0"/>
          <w:bCs w:val="0"/>
          <w:i/>
          <w:iCs/>
          <w:sz w:val="25"/>
          <w:szCs w:val="25"/>
          <w:u w:val="none"/>
        </w:rPr>
      </w:pPr>
      <w:r>
        <w:rPr>
          <w:b w:val="0"/>
          <w:bCs w:val="0"/>
          <w:i/>
          <w:iCs/>
          <w:sz w:val="25"/>
          <w:szCs w:val="25"/>
          <w:u w:val="none"/>
        </w:rPr>
        <w:t xml:space="preserve">TEXT EXAMPLE of BCP Disclosure Statement for Introducing </w:t>
      </w:r>
      <w:r w:rsidR="00963590">
        <w:rPr>
          <w:b w:val="0"/>
          <w:bCs w:val="0"/>
          <w:i/>
          <w:iCs/>
          <w:sz w:val="25"/>
          <w:szCs w:val="25"/>
          <w:u w:val="none"/>
        </w:rPr>
        <w:t>County</w:t>
      </w:r>
      <w:r>
        <w:rPr>
          <w:b w:val="0"/>
          <w:bCs w:val="0"/>
          <w:i/>
          <w:iCs/>
          <w:sz w:val="25"/>
          <w:szCs w:val="25"/>
          <w:u w:val="none"/>
        </w:rPr>
        <w:t xml:space="preserve">s with a Clearing Arrangement </w:t>
      </w:r>
    </w:p>
    <w:p w14:paraId="7CB420DF" w14:textId="541DF78C" w:rsidR="00AC5D11" w:rsidRDefault="00AC5D11" w:rsidP="00AC5D11">
      <w:pPr>
        <w:pStyle w:val="Heading1"/>
        <w:numPr>
          <w:ilvl w:val="0"/>
          <w:numId w:val="0"/>
        </w:numPr>
        <w:jc w:val="center"/>
        <w:rPr>
          <w:sz w:val="25"/>
          <w:szCs w:val="25"/>
        </w:rPr>
      </w:pPr>
      <w:r>
        <w:rPr>
          <w:sz w:val="25"/>
          <w:szCs w:val="25"/>
        </w:rPr>
        <w:t>[</w:t>
      </w:r>
      <w:r w:rsidR="00963590">
        <w:rPr>
          <w:i/>
          <w:iCs/>
          <w:sz w:val="25"/>
          <w:szCs w:val="25"/>
        </w:rPr>
        <w:t>County</w:t>
      </w:r>
      <w:r>
        <w:rPr>
          <w:i/>
          <w:iCs/>
          <w:sz w:val="25"/>
          <w:szCs w:val="25"/>
        </w:rPr>
        <w:t xml:space="preserve"> Name</w:t>
      </w:r>
      <w:r>
        <w:rPr>
          <w:sz w:val="25"/>
          <w:szCs w:val="25"/>
        </w:rPr>
        <w:t>]’s Business Continuity Planning</w:t>
      </w:r>
    </w:p>
    <w:p w14:paraId="255DF856" w14:textId="736C0DED" w:rsidR="00AC5D11" w:rsidRDefault="00AC5D11" w:rsidP="00AC5D11">
      <w:pPr>
        <w:pStyle w:val="BodyText"/>
        <w:ind w:firstLine="0"/>
        <w:rPr>
          <w:sz w:val="22"/>
          <w:szCs w:val="21"/>
        </w:rPr>
      </w:pPr>
      <w:r>
        <w:rPr>
          <w:sz w:val="22"/>
          <w:szCs w:val="21"/>
        </w:rPr>
        <w:t>[</w:t>
      </w:r>
      <w:r w:rsidR="00963590">
        <w:rPr>
          <w:i/>
          <w:iCs/>
          <w:sz w:val="22"/>
          <w:szCs w:val="21"/>
        </w:rPr>
        <w:t>County</w:t>
      </w:r>
      <w:r>
        <w:rPr>
          <w:i/>
          <w:iCs/>
          <w:sz w:val="22"/>
          <w:szCs w:val="21"/>
        </w:rPr>
        <w:t xml:space="preserve"> Name</w:t>
      </w:r>
      <w:r>
        <w:rPr>
          <w:sz w:val="22"/>
          <w:szCs w:val="21"/>
        </w:rPr>
        <w:t>] has developed a Business Continuity Plan on how we will respond to events that significantly disrupt our business.</w:t>
      </w:r>
      <w:r w:rsidR="00034153">
        <w:rPr>
          <w:sz w:val="22"/>
          <w:szCs w:val="21"/>
        </w:rPr>
        <w:t xml:space="preserve"> </w:t>
      </w:r>
      <w:r>
        <w:rPr>
          <w:sz w:val="22"/>
          <w:szCs w:val="21"/>
        </w:rPr>
        <w:t xml:space="preserve">Since the timing and impact of disasters and disruptions is unpredictable, we will be flexible in responding to actual events as they occur. With that in mind, we are providing you with this information on our business continuity plan. </w:t>
      </w:r>
    </w:p>
    <w:p w14:paraId="210CAF52" w14:textId="18690AB4" w:rsidR="00AC5D11" w:rsidRDefault="00AC5D11" w:rsidP="00AC5D11">
      <w:pPr>
        <w:pStyle w:val="BodyText"/>
        <w:ind w:firstLine="0"/>
        <w:rPr>
          <w:i/>
          <w:iCs/>
          <w:sz w:val="22"/>
          <w:szCs w:val="21"/>
        </w:rPr>
      </w:pPr>
      <w:r>
        <w:rPr>
          <w:b/>
          <w:bCs/>
          <w:sz w:val="22"/>
        </w:rPr>
        <w:t>Contacting Us</w:t>
      </w:r>
      <w:r>
        <w:rPr>
          <w:sz w:val="22"/>
        </w:rPr>
        <w:t xml:space="preserve"> – </w:t>
      </w:r>
      <w:r>
        <w:rPr>
          <w:sz w:val="22"/>
          <w:szCs w:val="21"/>
        </w:rPr>
        <w:t>If after a significant business disruption you cannot contact us as you usually do at [</w:t>
      </w:r>
      <w:r w:rsidR="00963590">
        <w:rPr>
          <w:i/>
          <w:iCs/>
          <w:sz w:val="22"/>
          <w:szCs w:val="21"/>
        </w:rPr>
        <w:t>County</w:t>
      </w:r>
      <w:r>
        <w:rPr>
          <w:i/>
          <w:iCs/>
          <w:sz w:val="22"/>
          <w:szCs w:val="21"/>
        </w:rPr>
        <w:t xml:space="preserve"> phone number/email</w:t>
      </w:r>
      <w:r>
        <w:rPr>
          <w:sz w:val="22"/>
          <w:szCs w:val="21"/>
        </w:rPr>
        <w:t>], you should call our alternative number [</w:t>
      </w:r>
      <w:r w:rsidR="00963590">
        <w:rPr>
          <w:i/>
          <w:iCs/>
          <w:sz w:val="22"/>
          <w:szCs w:val="21"/>
        </w:rPr>
        <w:t>County</w:t>
      </w:r>
      <w:r>
        <w:rPr>
          <w:i/>
          <w:iCs/>
          <w:sz w:val="22"/>
          <w:szCs w:val="21"/>
        </w:rPr>
        <w:t xml:space="preserve"> emergency number</w:t>
      </w:r>
      <w:r>
        <w:rPr>
          <w:sz w:val="22"/>
          <w:szCs w:val="21"/>
        </w:rPr>
        <w:t>] [or go to our website at {</w:t>
      </w:r>
      <w:r>
        <w:rPr>
          <w:i/>
          <w:iCs/>
          <w:sz w:val="22"/>
          <w:szCs w:val="21"/>
        </w:rPr>
        <w:t>URL</w:t>
      </w:r>
      <w:r>
        <w:rPr>
          <w:sz w:val="22"/>
          <w:szCs w:val="21"/>
        </w:rPr>
        <w:t>}].</w:t>
      </w:r>
      <w:r w:rsidR="00034153">
        <w:rPr>
          <w:sz w:val="22"/>
          <w:szCs w:val="21"/>
        </w:rPr>
        <w:t xml:space="preserve"> </w:t>
      </w:r>
      <w:r>
        <w:rPr>
          <w:sz w:val="22"/>
          <w:szCs w:val="21"/>
        </w:rPr>
        <w:t xml:space="preserve">If you cannot access us through either of those means, you should contact our clearing </w:t>
      </w:r>
      <w:r w:rsidR="00963590">
        <w:rPr>
          <w:sz w:val="22"/>
          <w:szCs w:val="21"/>
        </w:rPr>
        <w:t>County</w:t>
      </w:r>
      <w:r>
        <w:rPr>
          <w:sz w:val="22"/>
          <w:szCs w:val="21"/>
        </w:rPr>
        <w:t>, [</w:t>
      </w:r>
      <w:r>
        <w:rPr>
          <w:i/>
          <w:iCs/>
          <w:sz w:val="22"/>
          <w:szCs w:val="21"/>
        </w:rPr>
        <w:t>name</w:t>
      </w:r>
      <w:r>
        <w:rPr>
          <w:sz w:val="22"/>
          <w:szCs w:val="21"/>
        </w:rPr>
        <w:t>] at [</w:t>
      </w:r>
      <w:r>
        <w:rPr>
          <w:i/>
          <w:iCs/>
          <w:sz w:val="22"/>
          <w:szCs w:val="21"/>
        </w:rPr>
        <w:t xml:space="preserve">clearing </w:t>
      </w:r>
      <w:r w:rsidR="00963590">
        <w:rPr>
          <w:i/>
          <w:iCs/>
          <w:sz w:val="22"/>
          <w:szCs w:val="21"/>
        </w:rPr>
        <w:t>County</w:t>
      </w:r>
      <w:r>
        <w:rPr>
          <w:i/>
          <w:iCs/>
          <w:sz w:val="22"/>
          <w:szCs w:val="21"/>
        </w:rPr>
        <w:t xml:space="preserve"> number and URL</w:t>
      </w:r>
      <w:r>
        <w:rPr>
          <w:sz w:val="22"/>
          <w:szCs w:val="21"/>
        </w:rPr>
        <w:t xml:space="preserve">] for instructions on how it may </w:t>
      </w:r>
      <w:r w:rsidR="005B6425" w:rsidRPr="005B6425">
        <w:rPr>
          <w:iCs/>
          <w:sz w:val="22"/>
          <w:szCs w:val="21"/>
        </w:rPr>
        <w:t>[</w:t>
      </w:r>
      <w:r>
        <w:rPr>
          <w:i/>
          <w:iCs/>
          <w:sz w:val="22"/>
          <w:szCs w:val="21"/>
        </w:rPr>
        <w:t xml:space="preserve">list the services your clearing </w:t>
      </w:r>
      <w:r w:rsidR="00963590">
        <w:rPr>
          <w:i/>
          <w:iCs/>
          <w:sz w:val="22"/>
          <w:szCs w:val="21"/>
        </w:rPr>
        <w:t>County</w:t>
      </w:r>
      <w:r>
        <w:rPr>
          <w:i/>
          <w:iCs/>
          <w:sz w:val="22"/>
          <w:szCs w:val="21"/>
        </w:rPr>
        <w:t xml:space="preserve"> may provide to your customers in the event of a significant business disruption; for example, provide prompt access to funds and securities, enter orders and process other trade-related, cash and security transfer transactions for your customers</w:t>
      </w:r>
      <w:r w:rsidR="005B6425" w:rsidRPr="005B6425">
        <w:rPr>
          <w:iCs/>
          <w:sz w:val="22"/>
          <w:szCs w:val="21"/>
        </w:rPr>
        <w:t>]</w:t>
      </w:r>
      <w:r>
        <w:rPr>
          <w:i/>
          <w:iCs/>
          <w:sz w:val="22"/>
          <w:szCs w:val="21"/>
        </w:rPr>
        <w:t xml:space="preserve">.  </w:t>
      </w:r>
    </w:p>
    <w:p w14:paraId="7EAE997A" w14:textId="16FFEC3A" w:rsidR="00AC5D11" w:rsidRDefault="00AC5D11" w:rsidP="00AC5D11">
      <w:pPr>
        <w:pStyle w:val="BodyText"/>
        <w:ind w:firstLine="0"/>
        <w:rPr>
          <w:sz w:val="22"/>
          <w:szCs w:val="21"/>
        </w:rPr>
      </w:pPr>
      <w:r>
        <w:rPr>
          <w:b/>
          <w:bCs/>
          <w:sz w:val="22"/>
          <w:szCs w:val="21"/>
        </w:rPr>
        <w:t>Our Business Continuity Plan</w:t>
      </w:r>
      <w:r>
        <w:rPr>
          <w:sz w:val="22"/>
          <w:szCs w:val="21"/>
        </w:rPr>
        <w:t xml:space="preserve"> – We plan to quickly recover and resume business operations after a significant business disruption and respond by safeguarding our employees and property, making a financial and operational assessment, protecting the </w:t>
      </w:r>
      <w:r w:rsidR="00963590">
        <w:rPr>
          <w:sz w:val="22"/>
          <w:szCs w:val="21"/>
        </w:rPr>
        <w:t>County</w:t>
      </w:r>
      <w:r>
        <w:rPr>
          <w:sz w:val="22"/>
          <w:szCs w:val="21"/>
        </w:rPr>
        <w:t xml:space="preserve">’s books and records, and allowing our customers to transact business. In short, our business continuity plan is designed to permit our </w:t>
      </w:r>
      <w:r w:rsidR="00963590">
        <w:rPr>
          <w:sz w:val="22"/>
          <w:szCs w:val="21"/>
        </w:rPr>
        <w:t>County</w:t>
      </w:r>
      <w:r>
        <w:rPr>
          <w:sz w:val="22"/>
          <w:szCs w:val="21"/>
        </w:rPr>
        <w:t xml:space="preserve"> to resume operations as quickly as possible, given the scope and severity of the significant business disruption.  </w:t>
      </w:r>
    </w:p>
    <w:p w14:paraId="0B42E279" w14:textId="6B0FE4B9" w:rsidR="00AC5D11" w:rsidRDefault="00AC5D11" w:rsidP="00AC5D11">
      <w:pPr>
        <w:pStyle w:val="BodyText"/>
        <w:ind w:firstLine="0"/>
        <w:rPr>
          <w:sz w:val="22"/>
          <w:szCs w:val="21"/>
        </w:rPr>
      </w:pPr>
      <w:r>
        <w:rPr>
          <w:sz w:val="22"/>
          <w:szCs w:val="21"/>
        </w:rPr>
        <w:t xml:space="preserve">Our business continuity plan addresses: data backup and recovery; all mission critical systems; financial and operational assessments; </w:t>
      </w:r>
      <w:r w:rsidR="00BD111B">
        <w:rPr>
          <w:sz w:val="22"/>
          <w:szCs w:val="21"/>
        </w:rPr>
        <w:t xml:space="preserve">alternate </w:t>
      </w:r>
      <w:r>
        <w:rPr>
          <w:sz w:val="22"/>
          <w:szCs w:val="21"/>
        </w:rPr>
        <w:t xml:space="preserve">communications with customers, employees, and regulators; alternate physical location of employees; critical supplier, contractor, bank and counter-party impact; regulatory reporting; and assuring our customers prompt access to their funds and securities if we are unable to continue our business. </w:t>
      </w:r>
    </w:p>
    <w:p w14:paraId="1FF6E6E5" w14:textId="5AF1F81A" w:rsidR="00AC5D11" w:rsidRDefault="00BE0352" w:rsidP="00AC5D11">
      <w:pPr>
        <w:rPr>
          <w:sz w:val="22"/>
          <w:szCs w:val="21"/>
        </w:rPr>
      </w:pPr>
      <w:r>
        <w:rPr>
          <w:sz w:val="22"/>
          <w:szCs w:val="21"/>
        </w:rPr>
        <w:t>[</w:t>
      </w:r>
      <w:r w:rsidR="00AC5D11">
        <w:rPr>
          <w:sz w:val="22"/>
          <w:szCs w:val="21"/>
        </w:rPr>
        <w:t xml:space="preserve">Our clearing </w:t>
      </w:r>
      <w:r w:rsidR="00963590">
        <w:rPr>
          <w:sz w:val="22"/>
          <w:szCs w:val="21"/>
        </w:rPr>
        <w:t>County</w:t>
      </w:r>
      <w:r w:rsidR="00AC5D11">
        <w:rPr>
          <w:sz w:val="22"/>
          <w:szCs w:val="21"/>
        </w:rPr>
        <w:t>, [</w:t>
      </w:r>
      <w:r w:rsidR="00AC5D11">
        <w:rPr>
          <w:i/>
          <w:iCs/>
          <w:sz w:val="22"/>
          <w:szCs w:val="21"/>
        </w:rPr>
        <w:t>name</w:t>
      </w:r>
      <w:r w:rsidR="00AC5D11">
        <w:rPr>
          <w:sz w:val="22"/>
          <w:szCs w:val="21"/>
        </w:rPr>
        <w:t xml:space="preserve">], backs up our important records in a geographically separate area. While every emergency situation poses unique problems based on external factors, such as time of day and the severity of the disruption, we have been advised by our clearing </w:t>
      </w:r>
      <w:r w:rsidR="00963590">
        <w:rPr>
          <w:sz w:val="22"/>
          <w:szCs w:val="21"/>
        </w:rPr>
        <w:t>County</w:t>
      </w:r>
      <w:r w:rsidR="00AC5D11">
        <w:rPr>
          <w:sz w:val="22"/>
          <w:szCs w:val="21"/>
        </w:rPr>
        <w:t xml:space="preserve"> that its objective is to restore its own operations and be able to complete existing transactions and accept new transactions and payments within [</w:t>
      </w:r>
      <w:r w:rsidR="00AC5D11">
        <w:rPr>
          <w:i/>
          <w:iCs/>
          <w:sz w:val="22"/>
          <w:szCs w:val="21"/>
        </w:rPr>
        <w:t>resumption</w:t>
      </w:r>
      <w:r w:rsidR="00AC5D11">
        <w:rPr>
          <w:sz w:val="22"/>
          <w:szCs w:val="21"/>
        </w:rPr>
        <w:t xml:space="preserve"> </w:t>
      </w:r>
      <w:r w:rsidR="00AC5D11">
        <w:rPr>
          <w:i/>
          <w:iCs/>
          <w:sz w:val="22"/>
          <w:szCs w:val="21"/>
        </w:rPr>
        <w:t>time period</w:t>
      </w:r>
      <w:r w:rsidR="00AC5D11">
        <w:rPr>
          <w:sz w:val="22"/>
          <w:szCs w:val="21"/>
        </w:rPr>
        <w:t>]. Your orders and requests for funds and securities could be delayed during this period</w:t>
      </w:r>
      <w:r w:rsidR="005A5C09">
        <w:rPr>
          <w:sz w:val="22"/>
          <w:szCs w:val="21"/>
        </w:rPr>
        <w:t>.</w:t>
      </w:r>
      <w:r>
        <w:rPr>
          <w:sz w:val="22"/>
          <w:szCs w:val="21"/>
        </w:rPr>
        <w:t>]</w:t>
      </w:r>
      <w:r w:rsidR="00AC5D11">
        <w:rPr>
          <w:sz w:val="22"/>
          <w:szCs w:val="21"/>
        </w:rPr>
        <w:t xml:space="preserve">  </w:t>
      </w:r>
    </w:p>
    <w:p w14:paraId="5E0495BD" w14:textId="77777777" w:rsidR="00AC5D11" w:rsidRDefault="00AC5D11" w:rsidP="00AC5D11">
      <w:pPr>
        <w:rPr>
          <w:sz w:val="22"/>
          <w:szCs w:val="21"/>
        </w:rPr>
      </w:pPr>
    </w:p>
    <w:p w14:paraId="70F1567D" w14:textId="04BCF624" w:rsidR="00AC5D11" w:rsidRDefault="00AC5D11" w:rsidP="00AC5D11">
      <w:pPr>
        <w:rPr>
          <w:sz w:val="22"/>
          <w:szCs w:val="21"/>
        </w:rPr>
      </w:pPr>
      <w:r>
        <w:rPr>
          <w:b/>
          <w:bCs/>
          <w:sz w:val="22"/>
          <w:szCs w:val="21"/>
        </w:rPr>
        <w:t xml:space="preserve">Varying Disruptions </w:t>
      </w:r>
      <w:r>
        <w:rPr>
          <w:sz w:val="22"/>
          <w:szCs w:val="21"/>
        </w:rPr>
        <w:t xml:space="preserve">– Significant business disruptions can vary in their scope, such as only our </w:t>
      </w:r>
      <w:r w:rsidR="00963590">
        <w:rPr>
          <w:sz w:val="22"/>
          <w:szCs w:val="21"/>
        </w:rPr>
        <w:t>County</w:t>
      </w:r>
      <w:r w:rsidR="00BE0352">
        <w:rPr>
          <w:sz w:val="22"/>
          <w:szCs w:val="21"/>
        </w:rPr>
        <w:t>’s office</w:t>
      </w:r>
      <w:r>
        <w:rPr>
          <w:sz w:val="22"/>
          <w:szCs w:val="21"/>
        </w:rPr>
        <w:t xml:space="preserve">, the city where we are located or the whole region. Within each of these areas, the severity of the disruption can also vary from minimal to severe. </w:t>
      </w:r>
      <w:r w:rsidR="00BE0352">
        <w:rPr>
          <w:sz w:val="22"/>
          <w:szCs w:val="21"/>
        </w:rPr>
        <w:t xml:space="preserve">In the event of a significant business disruption, we have plans to place to move to a back-up location or remote locations as necessary. </w:t>
      </w:r>
      <w:r>
        <w:rPr>
          <w:sz w:val="22"/>
          <w:szCs w:val="21"/>
        </w:rPr>
        <w:t xml:space="preserve">In either situation, we plan to continue in business, transfer operations to our clearing </w:t>
      </w:r>
      <w:r w:rsidR="00963590">
        <w:rPr>
          <w:sz w:val="22"/>
          <w:szCs w:val="21"/>
        </w:rPr>
        <w:t>County</w:t>
      </w:r>
      <w:r>
        <w:rPr>
          <w:sz w:val="22"/>
          <w:szCs w:val="21"/>
        </w:rPr>
        <w:t xml:space="preserve"> if necessary, and notify you through our website [</w:t>
      </w:r>
      <w:r w:rsidR="00397E4C" w:rsidRPr="00397E4C">
        <w:rPr>
          <w:i/>
          <w:sz w:val="22"/>
          <w:szCs w:val="21"/>
        </w:rPr>
        <w:t>URL</w:t>
      </w:r>
      <w:r>
        <w:rPr>
          <w:sz w:val="22"/>
          <w:szCs w:val="21"/>
        </w:rPr>
        <w:t>] or our customer emergency number, [</w:t>
      </w:r>
      <w:r w:rsidR="00963590">
        <w:rPr>
          <w:i/>
          <w:iCs/>
          <w:sz w:val="22"/>
          <w:szCs w:val="21"/>
        </w:rPr>
        <w:t>County</w:t>
      </w:r>
      <w:r>
        <w:rPr>
          <w:i/>
          <w:iCs/>
          <w:sz w:val="22"/>
          <w:szCs w:val="21"/>
        </w:rPr>
        <w:t xml:space="preserve"> emergency number</w:t>
      </w:r>
      <w:r>
        <w:rPr>
          <w:sz w:val="22"/>
          <w:szCs w:val="21"/>
        </w:rPr>
        <w:t xml:space="preserve">] how to contact us. If the significant business disruption is so severe that it prevents us from remaining in business, we will assure our customer’s prompt access to their funds and securities. </w:t>
      </w:r>
    </w:p>
    <w:p w14:paraId="758FE9A6" w14:textId="77777777" w:rsidR="00AC5D11" w:rsidRDefault="00AC5D11" w:rsidP="00AC5D11">
      <w:pPr>
        <w:rPr>
          <w:sz w:val="22"/>
          <w:szCs w:val="21"/>
        </w:rPr>
      </w:pPr>
    </w:p>
    <w:p w14:paraId="2D038968" w14:textId="66EC187A" w:rsidR="00AC5D11" w:rsidRDefault="00AC5D11" w:rsidP="00AC5D11">
      <w:pPr>
        <w:rPr>
          <w:sz w:val="22"/>
          <w:szCs w:val="21"/>
        </w:rPr>
      </w:pPr>
      <w:r>
        <w:rPr>
          <w:b/>
          <w:bCs/>
          <w:sz w:val="22"/>
          <w:szCs w:val="21"/>
        </w:rPr>
        <w:t>For more information</w:t>
      </w:r>
      <w:r>
        <w:rPr>
          <w:sz w:val="22"/>
          <w:szCs w:val="21"/>
        </w:rPr>
        <w:t xml:space="preserve"> – If you have questions about our business continuity planning, you can contact us at [</w:t>
      </w:r>
      <w:r w:rsidR="00963590">
        <w:rPr>
          <w:i/>
          <w:iCs/>
          <w:sz w:val="22"/>
          <w:szCs w:val="21"/>
        </w:rPr>
        <w:t>County</w:t>
      </w:r>
      <w:r>
        <w:rPr>
          <w:i/>
          <w:iCs/>
          <w:sz w:val="22"/>
          <w:szCs w:val="21"/>
        </w:rPr>
        <w:t xml:space="preserve"> business number or email address</w:t>
      </w:r>
      <w:r>
        <w:rPr>
          <w:sz w:val="22"/>
          <w:szCs w:val="21"/>
        </w:rPr>
        <w:t>].</w:t>
      </w:r>
    </w:p>
    <w:p w14:paraId="7BBB173F" w14:textId="77777777" w:rsidR="00AC5D11" w:rsidRDefault="00AC5D11" w:rsidP="00AC5D11">
      <w:pPr>
        <w:rPr>
          <w:i/>
          <w:iCs/>
          <w:sz w:val="15"/>
          <w:szCs w:val="15"/>
        </w:rPr>
      </w:pPr>
    </w:p>
    <w:p w14:paraId="5377BC21" w14:textId="77777777" w:rsidR="00C934ED" w:rsidRDefault="00C934ED">
      <w:pPr>
        <w:pStyle w:val="Header"/>
        <w:tabs>
          <w:tab w:val="clear" w:pos="4320"/>
          <w:tab w:val="clear" w:pos="8640"/>
        </w:tabs>
      </w:pPr>
    </w:p>
    <w:sectPr w:rsidR="00C934ED" w:rsidSect="00881CA5">
      <w:headerReference w:type="default" r:id="rId11"/>
      <w:footerReference w:type="even" r:id="rId12"/>
      <w:footerReference w:type="default" r:id="rId13"/>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1048" w14:textId="77777777" w:rsidR="00E82BC9" w:rsidRDefault="00E82BC9">
      <w:r>
        <w:separator/>
      </w:r>
    </w:p>
  </w:endnote>
  <w:endnote w:type="continuationSeparator" w:id="0">
    <w:p w14:paraId="57E4FAE0" w14:textId="77777777" w:rsidR="00E82BC9" w:rsidRDefault="00E82BC9">
      <w:r>
        <w:continuationSeparator/>
      </w:r>
    </w:p>
  </w:endnote>
  <w:endnote w:type="continuationNotice" w:id="1">
    <w:p w14:paraId="7445379D" w14:textId="77777777" w:rsidR="00E82BC9" w:rsidRDefault="00E82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581A" w14:textId="77777777" w:rsidR="00D47E14" w:rsidRDefault="00D47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FA54C" w14:textId="77777777" w:rsidR="00D47E14" w:rsidRDefault="00D47E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1496" w14:textId="0C218103" w:rsidR="00D47E14" w:rsidRDefault="00D47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D58">
      <w:rPr>
        <w:rStyle w:val="PageNumber"/>
        <w:noProof/>
      </w:rPr>
      <w:t>12</w:t>
    </w:r>
    <w:r>
      <w:rPr>
        <w:rStyle w:val="PageNumber"/>
      </w:rPr>
      <w:fldChar w:fldCharType="end"/>
    </w:r>
  </w:p>
  <w:p w14:paraId="6C32671A" w14:textId="77777777" w:rsidR="00D47E14" w:rsidRDefault="00D47E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2C6A" w14:textId="77777777" w:rsidR="00E82BC9" w:rsidRDefault="00E82BC9">
      <w:r>
        <w:separator/>
      </w:r>
    </w:p>
  </w:footnote>
  <w:footnote w:type="continuationSeparator" w:id="0">
    <w:p w14:paraId="3DA4D07D" w14:textId="77777777" w:rsidR="00E82BC9" w:rsidRDefault="00E82BC9">
      <w:r>
        <w:continuationSeparator/>
      </w:r>
    </w:p>
  </w:footnote>
  <w:footnote w:type="continuationNotice" w:id="1">
    <w:p w14:paraId="6793F1B7" w14:textId="77777777" w:rsidR="00E82BC9" w:rsidRDefault="00E82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8E29" w14:textId="5272F2F9" w:rsidR="00D47E14" w:rsidRPr="00710A74" w:rsidRDefault="00D47E14" w:rsidP="00D97515">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D5"/>
    <w:multiLevelType w:val="hybridMultilevel"/>
    <w:tmpl w:val="098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B7C7A"/>
    <w:multiLevelType w:val="multilevel"/>
    <w:tmpl w:val="3E5CA3EE"/>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b w:val="0"/>
      </w:rPr>
    </w:lvl>
    <w:lvl w:ilvl="2">
      <w:start w:val="1"/>
      <w:numFmt w:val="decimal"/>
      <w:pStyle w:val="Heading3"/>
      <w:lvlText w:val="%3."/>
      <w:lvlJc w:val="left"/>
      <w:pPr>
        <w:tabs>
          <w:tab w:val="num" w:pos="1800"/>
        </w:tabs>
        <w:ind w:left="1440" w:firstLine="0"/>
      </w:pPr>
      <w:rPr>
        <w:rFonts w:hint="default"/>
        <w:b/>
        <w:bCs/>
      </w:rPr>
    </w:lvl>
    <w:lvl w:ilvl="3">
      <w:start w:val="1"/>
      <w:numFmt w:val="lowerLetter"/>
      <w:pStyle w:val="Heading4"/>
      <w:lvlText w:val="%4)"/>
      <w:lvlJc w:val="left"/>
      <w:pPr>
        <w:tabs>
          <w:tab w:val="num" w:pos="2520"/>
        </w:tabs>
        <w:ind w:left="2160" w:firstLine="0"/>
      </w:pPr>
      <w:rPr>
        <w:rFonts w:ascii="Times New Roman" w:hAnsi="Times New Roman" w:hint="default"/>
        <w:b w:val="0"/>
        <w:i w:val="0"/>
        <w:color w:val="auto"/>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720637863">
    <w:abstractNumId w:val="1"/>
  </w:num>
  <w:num w:numId="2" w16cid:durableId="715273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4321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3E"/>
    <w:rsid w:val="000100DC"/>
    <w:rsid w:val="000171FB"/>
    <w:rsid w:val="00023487"/>
    <w:rsid w:val="000245ED"/>
    <w:rsid w:val="0002762A"/>
    <w:rsid w:val="00027FC7"/>
    <w:rsid w:val="00034153"/>
    <w:rsid w:val="0003433E"/>
    <w:rsid w:val="00046467"/>
    <w:rsid w:val="000532B9"/>
    <w:rsid w:val="0005692B"/>
    <w:rsid w:val="00064CF4"/>
    <w:rsid w:val="00065D74"/>
    <w:rsid w:val="0008759A"/>
    <w:rsid w:val="00096CBE"/>
    <w:rsid w:val="000A24FF"/>
    <w:rsid w:val="000A525D"/>
    <w:rsid w:val="000B3CAE"/>
    <w:rsid w:val="000C2314"/>
    <w:rsid w:val="000C59E9"/>
    <w:rsid w:val="000C6BB9"/>
    <w:rsid w:val="000C7203"/>
    <w:rsid w:val="000D70E8"/>
    <w:rsid w:val="000D7E90"/>
    <w:rsid w:val="000E4744"/>
    <w:rsid w:val="000F15C6"/>
    <w:rsid w:val="000F3F22"/>
    <w:rsid w:val="00105CE7"/>
    <w:rsid w:val="00113885"/>
    <w:rsid w:val="0011763D"/>
    <w:rsid w:val="00117AF2"/>
    <w:rsid w:val="001436C8"/>
    <w:rsid w:val="00151F5F"/>
    <w:rsid w:val="001627AD"/>
    <w:rsid w:val="00163950"/>
    <w:rsid w:val="00177EA9"/>
    <w:rsid w:val="0018372C"/>
    <w:rsid w:val="00193B96"/>
    <w:rsid w:val="00194FB0"/>
    <w:rsid w:val="001A7E03"/>
    <w:rsid w:val="001C0FA5"/>
    <w:rsid w:val="001C3645"/>
    <w:rsid w:val="001C6804"/>
    <w:rsid w:val="001D617B"/>
    <w:rsid w:val="002021F4"/>
    <w:rsid w:val="00207656"/>
    <w:rsid w:val="00215506"/>
    <w:rsid w:val="00226068"/>
    <w:rsid w:val="00230F2C"/>
    <w:rsid w:val="00232ADE"/>
    <w:rsid w:val="00246F5B"/>
    <w:rsid w:val="00247C38"/>
    <w:rsid w:val="002573CB"/>
    <w:rsid w:val="00262500"/>
    <w:rsid w:val="00272252"/>
    <w:rsid w:val="00286685"/>
    <w:rsid w:val="0029065B"/>
    <w:rsid w:val="00290990"/>
    <w:rsid w:val="002918DD"/>
    <w:rsid w:val="00292EA2"/>
    <w:rsid w:val="002A07A2"/>
    <w:rsid w:val="002A2EF7"/>
    <w:rsid w:val="002B0466"/>
    <w:rsid w:val="002B3C35"/>
    <w:rsid w:val="002D2356"/>
    <w:rsid w:val="002D7AA9"/>
    <w:rsid w:val="002E125B"/>
    <w:rsid w:val="003028BB"/>
    <w:rsid w:val="00311EA5"/>
    <w:rsid w:val="003125B7"/>
    <w:rsid w:val="003159A8"/>
    <w:rsid w:val="003232AE"/>
    <w:rsid w:val="00336281"/>
    <w:rsid w:val="00336975"/>
    <w:rsid w:val="00347CCD"/>
    <w:rsid w:val="00355D89"/>
    <w:rsid w:val="00356AB3"/>
    <w:rsid w:val="0037784D"/>
    <w:rsid w:val="003840F5"/>
    <w:rsid w:val="003849C1"/>
    <w:rsid w:val="0038554F"/>
    <w:rsid w:val="00392B3D"/>
    <w:rsid w:val="0039550C"/>
    <w:rsid w:val="00397E4C"/>
    <w:rsid w:val="003C2ED0"/>
    <w:rsid w:val="003C6066"/>
    <w:rsid w:val="003D1A95"/>
    <w:rsid w:val="003D3DE2"/>
    <w:rsid w:val="003D495C"/>
    <w:rsid w:val="003E1FA1"/>
    <w:rsid w:val="003F0E1B"/>
    <w:rsid w:val="003F2748"/>
    <w:rsid w:val="0043338D"/>
    <w:rsid w:val="0044070E"/>
    <w:rsid w:val="00441913"/>
    <w:rsid w:val="0045250D"/>
    <w:rsid w:val="00461ED8"/>
    <w:rsid w:val="00494793"/>
    <w:rsid w:val="004A2D04"/>
    <w:rsid w:val="004A30FE"/>
    <w:rsid w:val="004A5A67"/>
    <w:rsid w:val="004A5B1F"/>
    <w:rsid w:val="004B7456"/>
    <w:rsid w:val="004C5C18"/>
    <w:rsid w:val="004D0E7F"/>
    <w:rsid w:val="004E24CE"/>
    <w:rsid w:val="004F2C24"/>
    <w:rsid w:val="004F4897"/>
    <w:rsid w:val="004F53AF"/>
    <w:rsid w:val="00500E9F"/>
    <w:rsid w:val="0050308C"/>
    <w:rsid w:val="0050637C"/>
    <w:rsid w:val="0051563A"/>
    <w:rsid w:val="00515C0A"/>
    <w:rsid w:val="00517696"/>
    <w:rsid w:val="00532C79"/>
    <w:rsid w:val="00567A1A"/>
    <w:rsid w:val="00572822"/>
    <w:rsid w:val="00572F2F"/>
    <w:rsid w:val="00582B25"/>
    <w:rsid w:val="005849E8"/>
    <w:rsid w:val="00591979"/>
    <w:rsid w:val="00591DD3"/>
    <w:rsid w:val="00592C78"/>
    <w:rsid w:val="00593A8E"/>
    <w:rsid w:val="00595587"/>
    <w:rsid w:val="00596C21"/>
    <w:rsid w:val="005A1DE6"/>
    <w:rsid w:val="005A5C09"/>
    <w:rsid w:val="005A60E9"/>
    <w:rsid w:val="005B0435"/>
    <w:rsid w:val="005B4283"/>
    <w:rsid w:val="005B6425"/>
    <w:rsid w:val="005B6F02"/>
    <w:rsid w:val="005C3715"/>
    <w:rsid w:val="005C4D75"/>
    <w:rsid w:val="005C525B"/>
    <w:rsid w:val="005D0B91"/>
    <w:rsid w:val="005E0B71"/>
    <w:rsid w:val="005E51A9"/>
    <w:rsid w:val="005E7116"/>
    <w:rsid w:val="00607CBA"/>
    <w:rsid w:val="00615183"/>
    <w:rsid w:val="00623EC4"/>
    <w:rsid w:val="0064534D"/>
    <w:rsid w:val="0065053D"/>
    <w:rsid w:val="00656DB9"/>
    <w:rsid w:val="00661E7B"/>
    <w:rsid w:val="006761F2"/>
    <w:rsid w:val="006925DD"/>
    <w:rsid w:val="006B52B8"/>
    <w:rsid w:val="006C28C2"/>
    <w:rsid w:val="006C334F"/>
    <w:rsid w:val="006C4024"/>
    <w:rsid w:val="006D5A8A"/>
    <w:rsid w:val="006D60F3"/>
    <w:rsid w:val="006E7CCD"/>
    <w:rsid w:val="0070295E"/>
    <w:rsid w:val="00710A74"/>
    <w:rsid w:val="0071677F"/>
    <w:rsid w:val="00726243"/>
    <w:rsid w:val="00740004"/>
    <w:rsid w:val="0075551F"/>
    <w:rsid w:val="007624FB"/>
    <w:rsid w:val="00771EA9"/>
    <w:rsid w:val="00773196"/>
    <w:rsid w:val="00783497"/>
    <w:rsid w:val="00794799"/>
    <w:rsid w:val="007A386E"/>
    <w:rsid w:val="007B2BE7"/>
    <w:rsid w:val="007C3D02"/>
    <w:rsid w:val="007C47EE"/>
    <w:rsid w:val="007F0031"/>
    <w:rsid w:val="007F344B"/>
    <w:rsid w:val="00803DE3"/>
    <w:rsid w:val="00805C7F"/>
    <w:rsid w:val="00810015"/>
    <w:rsid w:val="00811AB3"/>
    <w:rsid w:val="00816439"/>
    <w:rsid w:val="0082363A"/>
    <w:rsid w:val="00830CF8"/>
    <w:rsid w:val="008533E3"/>
    <w:rsid w:val="00855408"/>
    <w:rsid w:val="008641D3"/>
    <w:rsid w:val="00864924"/>
    <w:rsid w:val="0087480C"/>
    <w:rsid w:val="00881CA5"/>
    <w:rsid w:val="00881F82"/>
    <w:rsid w:val="00886F0A"/>
    <w:rsid w:val="008973BC"/>
    <w:rsid w:val="008A3CD0"/>
    <w:rsid w:val="008A5564"/>
    <w:rsid w:val="008B6C0A"/>
    <w:rsid w:val="008B6DB0"/>
    <w:rsid w:val="008C200D"/>
    <w:rsid w:val="008C37B6"/>
    <w:rsid w:val="008D4431"/>
    <w:rsid w:val="008F1815"/>
    <w:rsid w:val="008F7A27"/>
    <w:rsid w:val="009003D1"/>
    <w:rsid w:val="00900933"/>
    <w:rsid w:val="00902724"/>
    <w:rsid w:val="009033AC"/>
    <w:rsid w:val="0090522B"/>
    <w:rsid w:val="00915C28"/>
    <w:rsid w:val="00916482"/>
    <w:rsid w:val="00917497"/>
    <w:rsid w:val="009350F2"/>
    <w:rsid w:val="0093696D"/>
    <w:rsid w:val="00946175"/>
    <w:rsid w:val="0095599C"/>
    <w:rsid w:val="00961495"/>
    <w:rsid w:val="00961602"/>
    <w:rsid w:val="00963590"/>
    <w:rsid w:val="00965317"/>
    <w:rsid w:val="00965968"/>
    <w:rsid w:val="009711AE"/>
    <w:rsid w:val="009819EA"/>
    <w:rsid w:val="009924CA"/>
    <w:rsid w:val="009A2E2D"/>
    <w:rsid w:val="009B46A4"/>
    <w:rsid w:val="009B5E45"/>
    <w:rsid w:val="009B6391"/>
    <w:rsid w:val="009E1218"/>
    <w:rsid w:val="009E3314"/>
    <w:rsid w:val="009E42EB"/>
    <w:rsid w:val="009E7576"/>
    <w:rsid w:val="009F1DE6"/>
    <w:rsid w:val="009F26BB"/>
    <w:rsid w:val="00A042A7"/>
    <w:rsid w:val="00A0743D"/>
    <w:rsid w:val="00A11E8A"/>
    <w:rsid w:val="00A16B48"/>
    <w:rsid w:val="00A17D37"/>
    <w:rsid w:val="00A23644"/>
    <w:rsid w:val="00A23FC1"/>
    <w:rsid w:val="00A3107E"/>
    <w:rsid w:val="00A319DB"/>
    <w:rsid w:val="00A33439"/>
    <w:rsid w:val="00A33492"/>
    <w:rsid w:val="00A35796"/>
    <w:rsid w:val="00A52245"/>
    <w:rsid w:val="00A67F5C"/>
    <w:rsid w:val="00A877A6"/>
    <w:rsid w:val="00A96687"/>
    <w:rsid w:val="00A966C3"/>
    <w:rsid w:val="00AA6D58"/>
    <w:rsid w:val="00AB0E93"/>
    <w:rsid w:val="00AB2C04"/>
    <w:rsid w:val="00AB5B5F"/>
    <w:rsid w:val="00AB6139"/>
    <w:rsid w:val="00AC3571"/>
    <w:rsid w:val="00AC5D11"/>
    <w:rsid w:val="00AD17B3"/>
    <w:rsid w:val="00AD1D52"/>
    <w:rsid w:val="00AD21A0"/>
    <w:rsid w:val="00AD3EE3"/>
    <w:rsid w:val="00AF032E"/>
    <w:rsid w:val="00B01A0B"/>
    <w:rsid w:val="00B025A0"/>
    <w:rsid w:val="00B05905"/>
    <w:rsid w:val="00B05F93"/>
    <w:rsid w:val="00B0661B"/>
    <w:rsid w:val="00B10CCC"/>
    <w:rsid w:val="00B20787"/>
    <w:rsid w:val="00B24B1F"/>
    <w:rsid w:val="00B332AA"/>
    <w:rsid w:val="00B35426"/>
    <w:rsid w:val="00B3676E"/>
    <w:rsid w:val="00B41F07"/>
    <w:rsid w:val="00B42D12"/>
    <w:rsid w:val="00B52606"/>
    <w:rsid w:val="00B5613C"/>
    <w:rsid w:val="00B62210"/>
    <w:rsid w:val="00B63B92"/>
    <w:rsid w:val="00B722F1"/>
    <w:rsid w:val="00B7302C"/>
    <w:rsid w:val="00B7497B"/>
    <w:rsid w:val="00B7569E"/>
    <w:rsid w:val="00B804C5"/>
    <w:rsid w:val="00B818E4"/>
    <w:rsid w:val="00B92DC5"/>
    <w:rsid w:val="00BA0093"/>
    <w:rsid w:val="00BA045E"/>
    <w:rsid w:val="00BA52D4"/>
    <w:rsid w:val="00BB122B"/>
    <w:rsid w:val="00BC00C8"/>
    <w:rsid w:val="00BC10EC"/>
    <w:rsid w:val="00BD111B"/>
    <w:rsid w:val="00BD2222"/>
    <w:rsid w:val="00BD364A"/>
    <w:rsid w:val="00BD73DC"/>
    <w:rsid w:val="00BE0352"/>
    <w:rsid w:val="00BE4970"/>
    <w:rsid w:val="00BE771E"/>
    <w:rsid w:val="00BF017F"/>
    <w:rsid w:val="00BF28A9"/>
    <w:rsid w:val="00C01384"/>
    <w:rsid w:val="00C01EE0"/>
    <w:rsid w:val="00C02EFB"/>
    <w:rsid w:val="00C0367A"/>
    <w:rsid w:val="00C03EAC"/>
    <w:rsid w:val="00C0489E"/>
    <w:rsid w:val="00C05548"/>
    <w:rsid w:val="00C23236"/>
    <w:rsid w:val="00C34F66"/>
    <w:rsid w:val="00C45BDD"/>
    <w:rsid w:val="00C63664"/>
    <w:rsid w:val="00C6741F"/>
    <w:rsid w:val="00C872C4"/>
    <w:rsid w:val="00C934ED"/>
    <w:rsid w:val="00C9433A"/>
    <w:rsid w:val="00CA081F"/>
    <w:rsid w:val="00CC173E"/>
    <w:rsid w:val="00CC4CC5"/>
    <w:rsid w:val="00CD189C"/>
    <w:rsid w:val="00CD44DA"/>
    <w:rsid w:val="00CD6DB6"/>
    <w:rsid w:val="00CF20FA"/>
    <w:rsid w:val="00CF25BB"/>
    <w:rsid w:val="00CF2FF0"/>
    <w:rsid w:val="00D11C1D"/>
    <w:rsid w:val="00D17EE2"/>
    <w:rsid w:val="00D22ADE"/>
    <w:rsid w:val="00D2415E"/>
    <w:rsid w:val="00D335BC"/>
    <w:rsid w:val="00D359DD"/>
    <w:rsid w:val="00D40C2C"/>
    <w:rsid w:val="00D40D8A"/>
    <w:rsid w:val="00D40FAA"/>
    <w:rsid w:val="00D4287D"/>
    <w:rsid w:val="00D47618"/>
    <w:rsid w:val="00D47E14"/>
    <w:rsid w:val="00D65005"/>
    <w:rsid w:val="00D66BBA"/>
    <w:rsid w:val="00D71CB1"/>
    <w:rsid w:val="00D81DD9"/>
    <w:rsid w:val="00D86B58"/>
    <w:rsid w:val="00D97515"/>
    <w:rsid w:val="00DA2FA4"/>
    <w:rsid w:val="00DB29F1"/>
    <w:rsid w:val="00DC0431"/>
    <w:rsid w:val="00DC64CC"/>
    <w:rsid w:val="00DD3140"/>
    <w:rsid w:val="00DD5FC8"/>
    <w:rsid w:val="00DD69E4"/>
    <w:rsid w:val="00DE1999"/>
    <w:rsid w:val="00DE5179"/>
    <w:rsid w:val="00DF502A"/>
    <w:rsid w:val="00DF6044"/>
    <w:rsid w:val="00E24A13"/>
    <w:rsid w:val="00E34348"/>
    <w:rsid w:val="00E37E6D"/>
    <w:rsid w:val="00E414AF"/>
    <w:rsid w:val="00E528EF"/>
    <w:rsid w:val="00E534E6"/>
    <w:rsid w:val="00E60AA3"/>
    <w:rsid w:val="00E631F4"/>
    <w:rsid w:val="00E700FA"/>
    <w:rsid w:val="00E82BC9"/>
    <w:rsid w:val="00E87E49"/>
    <w:rsid w:val="00EA2C4A"/>
    <w:rsid w:val="00ED1536"/>
    <w:rsid w:val="00ED59AA"/>
    <w:rsid w:val="00EF6880"/>
    <w:rsid w:val="00F048B3"/>
    <w:rsid w:val="00F05466"/>
    <w:rsid w:val="00F15DEE"/>
    <w:rsid w:val="00F17D0A"/>
    <w:rsid w:val="00F20636"/>
    <w:rsid w:val="00F24914"/>
    <w:rsid w:val="00F27B2F"/>
    <w:rsid w:val="00F37FC0"/>
    <w:rsid w:val="00F44683"/>
    <w:rsid w:val="00F46D86"/>
    <w:rsid w:val="00F547AB"/>
    <w:rsid w:val="00F558C3"/>
    <w:rsid w:val="00F65354"/>
    <w:rsid w:val="00F67E31"/>
    <w:rsid w:val="00F81419"/>
    <w:rsid w:val="00F82C2B"/>
    <w:rsid w:val="00FA02F4"/>
    <w:rsid w:val="00FC0402"/>
    <w:rsid w:val="00FC40A6"/>
    <w:rsid w:val="00FD1C2E"/>
    <w:rsid w:val="00FD3267"/>
    <w:rsid w:val="00FD4D00"/>
    <w:rsid w:val="00FE2D5A"/>
    <w:rsid w:val="00F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A8F8D"/>
  <w15:docId w15:val="{FD4EF0C8-1BCA-44A3-8128-EFD13BB0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CA5"/>
    <w:rPr>
      <w:sz w:val="24"/>
      <w:szCs w:val="24"/>
    </w:rPr>
  </w:style>
  <w:style w:type="paragraph" w:styleId="Heading1">
    <w:name w:val="heading 1"/>
    <w:basedOn w:val="Normal"/>
    <w:qFormat/>
    <w:rsid w:val="00881CA5"/>
    <w:pPr>
      <w:numPr>
        <w:numId w:val="1"/>
      </w:numPr>
      <w:spacing w:after="120"/>
      <w:outlineLvl w:val="0"/>
    </w:pPr>
    <w:rPr>
      <w:b/>
      <w:bCs/>
      <w:sz w:val="28"/>
      <w:szCs w:val="20"/>
      <w:u w:val="single"/>
    </w:rPr>
  </w:style>
  <w:style w:type="paragraph" w:styleId="Heading2">
    <w:name w:val="heading 2"/>
    <w:basedOn w:val="Normal"/>
    <w:qFormat/>
    <w:rsid w:val="00881CA5"/>
    <w:pPr>
      <w:numPr>
        <w:ilvl w:val="1"/>
        <w:numId w:val="1"/>
      </w:numPr>
      <w:spacing w:after="120"/>
      <w:outlineLvl w:val="1"/>
    </w:pPr>
    <w:rPr>
      <w:bCs/>
      <w:sz w:val="28"/>
      <w:szCs w:val="20"/>
      <w:u w:val="single"/>
    </w:rPr>
  </w:style>
  <w:style w:type="paragraph" w:styleId="Heading3">
    <w:name w:val="heading 3"/>
    <w:basedOn w:val="Normal"/>
    <w:qFormat/>
    <w:rsid w:val="00881CA5"/>
    <w:pPr>
      <w:numPr>
        <w:ilvl w:val="2"/>
        <w:numId w:val="1"/>
      </w:numPr>
      <w:spacing w:after="240"/>
      <w:outlineLvl w:val="2"/>
    </w:pPr>
    <w:rPr>
      <w:b/>
      <w:bCs/>
      <w:szCs w:val="20"/>
    </w:rPr>
  </w:style>
  <w:style w:type="paragraph" w:styleId="Heading4">
    <w:name w:val="heading 4"/>
    <w:basedOn w:val="Normal"/>
    <w:qFormat/>
    <w:rsid w:val="00881CA5"/>
    <w:pPr>
      <w:numPr>
        <w:ilvl w:val="3"/>
        <w:numId w:val="1"/>
      </w:numPr>
      <w:spacing w:after="240"/>
      <w:outlineLvl w:val="3"/>
    </w:pPr>
    <w:rPr>
      <w:sz w:val="28"/>
      <w:szCs w:val="20"/>
    </w:rPr>
  </w:style>
  <w:style w:type="paragraph" w:styleId="Heading5">
    <w:name w:val="heading 5"/>
    <w:basedOn w:val="Normal"/>
    <w:qFormat/>
    <w:rsid w:val="00881CA5"/>
    <w:pPr>
      <w:numPr>
        <w:ilvl w:val="4"/>
        <w:numId w:val="1"/>
      </w:numPr>
      <w:spacing w:after="240"/>
      <w:outlineLvl w:val="4"/>
    </w:pPr>
    <w:rPr>
      <w:szCs w:val="20"/>
    </w:rPr>
  </w:style>
  <w:style w:type="paragraph" w:styleId="Heading6">
    <w:name w:val="heading 6"/>
    <w:basedOn w:val="Normal"/>
    <w:qFormat/>
    <w:rsid w:val="00881CA5"/>
    <w:pPr>
      <w:numPr>
        <w:ilvl w:val="5"/>
        <w:numId w:val="1"/>
      </w:numPr>
      <w:spacing w:after="240"/>
      <w:outlineLvl w:val="5"/>
    </w:pPr>
    <w:rPr>
      <w:szCs w:val="20"/>
    </w:rPr>
  </w:style>
  <w:style w:type="paragraph" w:styleId="Heading7">
    <w:name w:val="heading 7"/>
    <w:basedOn w:val="Normal"/>
    <w:qFormat/>
    <w:rsid w:val="00881CA5"/>
    <w:pPr>
      <w:numPr>
        <w:ilvl w:val="6"/>
        <w:numId w:val="1"/>
      </w:numPr>
      <w:spacing w:after="240"/>
      <w:outlineLvl w:val="6"/>
    </w:pPr>
    <w:rPr>
      <w:szCs w:val="20"/>
    </w:rPr>
  </w:style>
  <w:style w:type="paragraph" w:styleId="Heading8">
    <w:name w:val="heading 8"/>
    <w:basedOn w:val="Normal"/>
    <w:qFormat/>
    <w:rsid w:val="00881CA5"/>
    <w:pPr>
      <w:numPr>
        <w:ilvl w:val="7"/>
        <w:numId w:val="1"/>
      </w:numPr>
      <w:spacing w:after="240"/>
      <w:outlineLvl w:val="7"/>
    </w:pPr>
    <w:rPr>
      <w:szCs w:val="20"/>
    </w:rPr>
  </w:style>
  <w:style w:type="paragraph" w:styleId="Heading9">
    <w:name w:val="heading 9"/>
    <w:basedOn w:val="Normal"/>
    <w:next w:val="Normal"/>
    <w:qFormat/>
    <w:rsid w:val="00881CA5"/>
    <w:pPr>
      <w:keepNext/>
      <w:numPr>
        <w:ilvl w:val="8"/>
        <w:numId w:val="1"/>
      </w:numPr>
      <w:spacing w:after="240"/>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881CA5"/>
    <w:pPr>
      <w:ind w:left="240" w:hanging="240"/>
    </w:pPr>
  </w:style>
  <w:style w:type="paragraph" w:styleId="IndexHeading">
    <w:name w:val="index heading"/>
    <w:basedOn w:val="Normal"/>
    <w:next w:val="Index1"/>
    <w:semiHidden/>
    <w:rsid w:val="00881CA5"/>
    <w:rPr>
      <w:b/>
      <w:szCs w:val="20"/>
    </w:rPr>
  </w:style>
  <w:style w:type="paragraph" w:styleId="BodyText">
    <w:name w:val="Body Text"/>
    <w:basedOn w:val="Normal"/>
    <w:rsid w:val="00881CA5"/>
    <w:pPr>
      <w:spacing w:after="240"/>
      <w:ind w:firstLine="1440"/>
    </w:pPr>
    <w:rPr>
      <w:szCs w:val="20"/>
    </w:rPr>
  </w:style>
  <w:style w:type="paragraph" w:customStyle="1" w:styleId="TitleCover">
    <w:name w:val="Title Cover"/>
    <w:basedOn w:val="Normal"/>
    <w:next w:val="Normal"/>
    <w:rsid w:val="00881CA5"/>
    <w:pPr>
      <w:keepNext/>
      <w:keepLines/>
      <w:pBdr>
        <w:bottom w:val="single" w:sz="18" w:space="20" w:color="auto"/>
      </w:pBdr>
      <w:spacing w:before="480" w:after="240"/>
    </w:pPr>
    <w:rPr>
      <w:rFonts w:ascii="Arial Black" w:hAnsi="Arial Black"/>
      <w:spacing w:val="-30"/>
      <w:kern w:val="28"/>
      <w:sz w:val="48"/>
      <w:szCs w:val="20"/>
    </w:rPr>
  </w:style>
  <w:style w:type="paragraph" w:styleId="Header">
    <w:name w:val="header"/>
    <w:basedOn w:val="Normal"/>
    <w:rsid w:val="00881CA5"/>
    <w:pPr>
      <w:tabs>
        <w:tab w:val="center" w:pos="4320"/>
        <w:tab w:val="right" w:pos="8640"/>
      </w:tabs>
    </w:pPr>
  </w:style>
  <w:style w:type="paragraph" w:styleId="Footer">
    <w:name w:val="footer"/>
    <w:basedOn w:val="Normal"/>
    <w:rsid w:val="00881CA5"/>
    <w:pPr>
      <w:tabs>
        <w:tab w:val="center" w:pos="4320"/>
        <w:tab w:val="right" w:pos="8640"/>
      </w:tabs>
    </w:pPr>
  </w:style>
  <w:style w:type="character" w:styleId="Hyperlink">
    <w:name w:val="Hyperlink"/>
    <w:basedOn w:val="DefaultParagraphFont"/>
    <w:rsid w:val="00881CA5"/>
    <w:rPr>
      <w:color w:val="0000FF"/>
      <w:u w:val="single"/>
    </w:rPr>
  </w:style>
  <w:style w:type="paragraph" w:styleId="BodyText2">
    <w:name w:val="Body Text 2"/>
    <w:basedOn w:val="Normal"/>
    <w:link w:val="BodyText2Char"/>
    <w:rsid w:val="00881CA5"/>
    <w:rPr>
      <w:bCs/>
      <w:i/>
      <w:iCs/>
    </w:rPr>
  </w:style>
  <w:style w:type="paragraph" w:styleId="BodyTextIndent">
    <w:name w:val="Body Text Indent"/>
    <w:basedOn w:val="Normal"/>
    <w:rsid w:val="00881CA5"/>
    <w:pPr>
      <w:ind w:left="1080"/>
    </w:pPr>
    <w:rPr>
      <w:bCs/>
      <w:i/>
      <w:iCs/>
    </w:rPr>
  </w:style>
  <w:style w:type="character" w:styleId="FollowedHyperlink">
    <w:name w:val="FollowedHyperlink"/>
    <w:basedOn w:val="DefaultParagraphFont"/>
    <w:rsid w:val="00881CA5"/>
    <w:rPr>
      <w:color w:val="800080"/>
      <w:u w:val="single"/>
    </w:rPr>
  </w:style>
  <w:style w:type="paragraph" w:styleId="HTMLPreformatted">
    <w:name w:val="HTML Preformatted"/>
    <w:basedOn w:val="Normal"/>
    <w:rsid w:val="00881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PageNumber">
    <w:name w:val="page number"/>
    <w:basedOn w:val="DefaultParagraphFont"/>
    <w:rsid w:val="00881CA5"/>
  </w:style>
  <w:style w:type="paragraph" w:styleId="BodyText3">
    <w:name w:val="Body Text 3"/>
    <w:basedOn w:val="Normal"/>
    <w:rsid w:val="00881CA5"/>
    <w:pPr>
      <w:pBdr>
        <w:top w:val="single" w:sz="4" w:space="1" w:color="auto"/>
        <w:left w:val="single" w:sz="4" w:space="4" w:color="auto"/>
        <w:bottom w:val="single" w:sz="4" w:space="1" w:color="auto"/>
        <w:right w:val="single" w:sz="4" w:space="4" w:color="auto"/>
      </w:pBdr>
    </w:pPr>
  </w:style>
  <w:style w:type="paragraph" w:customStyle="1" w:styleId="em2">
    <w:name w:val="em2"/>
    <w:basedOn w:val="Normal"/>
    <w:rsid w:val="00881CA5"/>
    <w:pPr>
      <w:spacing w:before="100" w:beforeAutospacing="1" w:after="100" w:afterAutospacing="1"/>
      <w:ind w:left="480"/>
    </w:pPr>
    <w:rPr>
      <w:rFonts w:ascii="Arial Unicode MS" w:eastAsia="Arial Unicode MS"/>
    </w:rPr>
  </w:style>
  <w:style w:type="paragraph" w:styleId="NormalWeb">
    <w:name w:val="Normal (Web)"/>
    <w:basedOn w:val="Normal"/>
    <w:rsid w:val="00881CA5"/>
    <w:pPr>
      <w:spacing w:before="100" w:beforeAutospacing="1" w:after="100" w:afterAutospacing="1"/>
    </w:pPr>
    <w:rPr>
      <w:rFonts w:ascii="Arial Unicode MS" w:eastAsia="Arial Unicode MS"/>
    </w:rPr>
  </w:style>
  <w:style w:type="paragraph" w:styleId="TOC1">
    <w:name w:val="toc 1"/>
    <w:basedOn w:val="Normal"/>
    <w:next w:val="Normal"/>
    <w:semiHidden/>
    <w:rsid w:val="00881CA5"/>
    <w:pPr>
      <w:tabs>
        <w:tab w:val="right" w:leader="dot" w:pos="9540"/>
      </w:tabs>
      <w:overflowPunct w:val="0"/>
      <w:autoSpaceDE w:val="0"/>
      <w:autoSpaceDN w:val="0"/>
      <w:adjustRightInd w:val="0"/>
      <w:textAlignment w:val="baseline"/>
    </w:pPr>
    <w:rPr>
      <w:rFonts w:ascii="Arial" w:hAnsi="Arial"/>
      <w:szCs w:val="20"/>
    </w:rPr>
  </w:style>
  <w:style w:type="paragraph" w:customStyle="1" w:styleId="Level1">
    <w:name w:val="Level 1"/>
    <w:basedOn w:val="Normal"/>
    <w:rsid w:val="00881CA5"/>
    <w:pPr>
      <w:overflowPunct w:val="0"/>
      <w:autoSpaceDE w:val="0"/>
      <w:autoSpaceDN w:val="0"/>
      <w:adjustRightInd w:val="0"/>
      <w:textAlignment w:val="baseline"/>
    </w:pPr>
    <w:rPr>
      <w:rFonts w:ascii="Arial" w:hAnsi="Arial"/>
      <w:b/>
      <w:szCs w:val="20"/>
    </w:rPr>
  </w:style>
  <w:style w:type="paragraph" w:styleId="FootnoteText">
    <w:name w:val="footnote text"/>
    <w:basedOn w:val="Normal"/>
    <w:semiHidden/>
    <w:rsid w:val="00881CA5"/>
    <w:rPr>
      <w:sz w:val="20"/>
      <w:szCs w:val="20"/>
    </w:rPr>
  </w:style>
  <w:style w:type="character" w:styleId="FootnoteReference">
    <w:name w:val="footnote reference"/>
    <w:basedOn w:val="DefaultParagraphFont"/>
    <w:semiHidden/>
    <w:rsid w:val="00881CA5"/>
    <w:rPr>
      <w:vertAlign w:val="superscript"/>
    </w:rPr>
  </w:style>
  <w:style w:type="character" w:styleId="CommentReference">
    <w:name w:val="annotation reference"/>
    <w:basedOn w:val="DefaultParagraphFont"/>
    <w:semiHidden/>
    <w:rsid w:val="00881CA5"/>
    <w:rPr>
      <w:sz w:val="16"/>
      <w:szCs w:val="16"/>
    </w:rPr>
  </w:style>
  <w:style w:type="paragraph" w:styleId="CommentText">
    <w:name w:val="annotation text"/>
    <w:basedOn w:val="Normal"/>
    <w:link w:val="CommentTextChar"/>
    <w:semiHidden/>
    <w:rsid w:val="00881CA5"/>
    <w:rPr>
      <w:sz w:val="20"/>
      <w:szCs w:val="20"/>
    </w:rPr>
  </w:style>
  <w:style w:type="paragraph" w:styleId="BodyTextIndent2">
    <w:name w:val="Body Text Indent 2"/>
    <w:basedOn w:val="Normal"/>
    <w:rsid w:val="00881CA5"/>
    <w:pPr>
      <w:overflowPunct w:val="0"/>
      <w:autoSpaceDE w:val="0"/>
      <w:autoSpaceDN w:val="0"/>
      <w:adjustRightInd w:val="0"/>
      <w:spacing w:line="480" w:lineRule="auto"/>
      <w:ind w:left="720" w:firstLine="720"/>
      <w:textAlignment w:val="baseline"/>
    </w:pPr>
    <w:rPr>
      <w:szCs w:val="20"/>
      <w:u w:val="single"/>
    </w:rPr>
  </w:style>
  <w:style w:type="paragraph" w:styleId="BodyTextIndent3">
    <w:name w:val="Body Text Indent 3"/>
    <w:basedOn w:val="Normal"/>
    <w:rsid w:val="00881CA5"/>
    <w:pPr>
      <w:pBdr>
        <w:top w:val="single" w:sz="4" w:space="1" w:color="auto"/>
        <w:left w:val="single" w:sz="4" w:space="4" w:color="auto"/>
        <w:bottom w:val="single" w:sz="4" w:space="1" w:color="auto"/>
        <w:right w:val="single" w:sz="4" w:space="4" w:color="auto"/>
      </w:pBdr>
      <w:ind w:firstLine="720"/>
      <w:jc w:val="both"/>
    </w:pPr>
  </w:style>
  <w:style w:type="paragraph" w:styleId="BlockText">
    <w:name w:val="Block Text"/>
    <w:basedOn w:val="Normal"/>
    <w:rsid w:val="00881CA5"/>
    <w:pPr>
      <w:ind w:left="720" w:right="720"/>
    </w:pPr>
  </w:style>
  <w:style w:type="paragraph" w:styleId="BalloonText">
    <w:name w:val="Balloon Text"/>
    <w:basedOn w:val="Normal"/>
    <w:link w:val="BalloonTextChar"/>
    <w:rsid w:val="003D495C"/>
    <w:rPr>
      <w:rFonts w:ascii="Tahoma" w:hAnsi="Tahoma" w:cs="Tahoma"/>
      <w:sz w:val="16"/>
      <w:szCs w:val="16"/>
    </w:rPr>
  </w:style>
  <w:style w:type="character" w:customStyle="1" w:styleId="BalloonTextChar">
    <w:name w:val="Balloon Text Char"/>
    <w:basedOn w:val="DefaultParagraphFont"/>
    <w:link w:val="BalloonText"/>
    <w:rsid w:val="003D495C"/>
    <w:rPr>
      <w:rFonts w:ascii="Tahoma" w:hAnsi="Tahoma" w:cs="Tahoma"/>
      <w:sz w:val="16"/>
      <w:szCs w:val="16"/>
    </w:rPr>
  </w:style>
  <w:style w:type="paragraph" w:styleId="CommentSubject">
    <w:name w:val="annotation subject"/>
    <w:basedOn w:val="CommentText"/>
    <w:next w:val="CommentText"/>
    <w:link w:val="CommentSubjectChar"/>
    <w:rsid w:val="00623EC4"/>
    <w:rPr>
      <w:b/>
      <w:bCs/>
    </w:rPr>
  </w:style>
  <w:style w:type="character" w:customStyle="1" w:styleId="CommentTextChar">
    <w:name w:val="Comment Text Char"/>
    <w:basedOn w:val="DefaultParagraphFont"/>
    <w:link w:val="CommentText"/>
    <w:semiHidden/>
    <w:rsid w:val="00623EC4"/>
  </w:style>
  <w:style w:type="character" w:customStyle="1" w:styleId="CommentSubjectChar">
    <w:name w:val="Comment Subject Char"/>
    <w:basedOn w:val="CommentTextChar"/>
    <w:link w:val="CommentSubject"/>
    <w:rsid w:val="00623EC4"/>
  </w:style>
  <w:style w:type="paragraph" w:styleId="ListParagraph">
    <w:name w:val="List Paragraph"/>
    <w:basedOn w:val="Normal"/>
    <w:uiPriority w:val="34"/>
    <w:qFormat/>
    <w:rsid w:val="00D359DD"/>
    <w:pPr>
      <w:ind w:left="720"/>
      <w:contextualSpacing/>
    </w:pPr>
  </w:style>
  <w:style w:type="table" w:styleId="TableGrid">
    <w:name w:val="Table Grid"/>
    <w:basedOn w:val="TableNormal"/>
    <w:rsid w:val="00F446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1EA5"/>
    <w:rPr>
      <w:sz w:val="24"/>
      <w:szCs w:val="24"/>
    </w:rPr>
  </w:style>
  <w:style w:type="character" w:styleId="Strong">
    <w:name w:val="Strong"/>
    <w:basedOn w:val="DefaultParagraphFont"/>
    <w:qFormat/>
    <w:rsid w:val="006925DD"/>
    <w:rPr>
      <w:b/>
      <w:bCs/>
    </w:rPr>
  </w:style>
  <w:style w:type="character" w:customStyle="1" w:styleId="BodyText2Char">
    <w:name w:val="Body Text 2 Char"/>
    <w:basedOn w:val="DefaultParagraphFont"/>
    <w:link w:val="BodyText2"/>
    <w:rsid w:val="00710A74"/>
    <w:rPr>
      <w:bCs/>
      <w:i/>
      <w:iCs/>
      <w:sz w:val="24"/>
      <w:szCs w:val="24"/>
    </w:rPr>
  </w:style>
  <w:style w:type="character" w:styleId="UnresolvedMention">
    <w:name w:val="Unresolved Mention"/>
    <w:basedOn w:val="DefaultParagraphFont"/>
    <w:uiPriority w:val="99"/>
    <w:semiHidden/>
    <w:unhideWhenUsed/>
    <w:rsid w:val="00DF6044"/>
    <w:rPr>
      <w:color w:val="605E5C"/>
      <w:shd w:val="clear" w:color="auto" w:fill="E1DFDD"/>
    </w:rPr>
  </w:style>
  <w:style w:type="character" w:styleId="Mention">
    <w:name w:val="Mention"/>
    <w:basedOn w:val="DefaultParagraphFont"/>
    <w:uiPriority w:val="99"/>
    <w:unhideWhenUsed/>
    <w:rsid w:val="00AB0E93"/>
    <w:rPr>
      <w:color w:val="2B579A"/>
      <w:shd w:val="clear" w:color="auto" w:fill="E1DFDD"/>
    </w:rPr>
  </w:style>
  <w:style w:type="paragraph" w:styleId="EndnoteText">
    <w:name w:val="endnote text"/>
    <w:basedOn w:val="Normal"/>
    <w:link w:val="EndnoteTextChar"/>
    <w:semiHidden/>
    <w:unhideWhenUsed/>
    <w:rsid w:val="00E528EF"/>
    <w:rPr>
      <w:sz w:val="20"/>
      <w:szCs w:val="20"/>
    </w:rPr>
  </w:style>
  <w:style w:type="character" w:customStyle="1" w:styleId="EndnoteTextChar">
    <w:name w:val="Endnote Text Char"/>
    <w:basedOn w:val="DefaultParagraphFont"/>
    <w:link w:val="EndnoteText"/>
    <w:semiHidden/>
    <w:rsid w:val="00E528EF"/>
  </w:style>
  <w:style w:type="character" w:styleId="EndnoteReference">
    <w:name w:val="endnote reference"/>
    <w:basedOn w:val="DefaultParagraphFont"/>
    <w:semiHidden/>
    <w:unhideWhenUsed/>
    <w:rsid w:val="00E52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63149">
      <w:bodyDiv w:val="1"/>
      <w:marLeft w:val="0"/>
      <w:marRight w:val="0"/>
      <w:marTop w:val="0"/>
      <w:marBottom w:val="0"/>
      <w:divBdr>
        <w:top w:val="none" w:sz="0" w:space="0" w:color="auto"/>
        <w:left w:val="none" w:sz="0" w:space="0" w:color="auto"/>
        <w:bottom w:val="none" w:sz="0" w:space="0" w:color="auto"/>
        <w:right w:val="none" w:sz="0" w:space="0" w:color="auto"/>
      </w:divBdr>
    </w:div>
    <w:div w:id="101418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D3AF5E8F7964894FCEEE3D7320F37" ma:contentTypeVersion="18" ma:contentTypeDescription="Create a new document." ma:contentTypeScope="" ma:versionID="d8e2b97ee43a2c508c0d70f6f50724e8">
  <xsd:schema xmlns:xsd="http://www.w3.org/2001/XMLSchema" xmlns:xs="http://www.w3.org/2001/XMLSchema" xmlns:p="http://schemas.microsoft.com/office/2006/metadata/properties" xmlns:ns1="http://schemas.microsoft.com/sharepoint/v3" xmlns:ns2="1e581be0-4291-43f9-8d2c-75ba13af8cd9" xmlns:ns3="ec5b4bbd-b27b-425b-8727-6ef4ce17364c" targetNamespace="http://schemas.microsoft.com/office/2006/metadata/properties" ma:root="true" ma:fieldsID="dd614053700c0fb203fe47441e8e9934" ns1:_="" ns2:_="" ns3:_="">
    <xsd:import namespace="http://schemas.microsoft.com/sharepoint/v3"/>
    <xsd:import namespace="1e581be0-4291-43f9-8d2c-75ba13af8cd9"/>
    <xsd:import namespace="ec5b4bbd-b27b-425b-8727-6ef4ce1736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81be0-4291-43f9-8d2c-75ba13af8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e0ca95-39fe-4008-96c7-e6eda0fb47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b4bbd-b27b-425b-8727-6ef4ce1736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e4ec3c-2d65-46a5-8311-292be9e0b3ff}" ma:internalName="TaxCatchAll" ma:showField="CatchAllData" ma:web="ec5b4bbd-b27b-425b-8727-6ef4ce1736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5b4bbd-b27b-425b-8727-6ef4ce17364c" xsi:nil="true"/>
    <_ip_UnifiedCompliancePolicyUIAction xmlns="http://schemas.microsoft.com/sharepoint/v3" xsi:nil="true"/>
    <_ip_UnifiedCompliancePolicyProperties xmlns="http://schemas.microsoft.com/sharepoint/v3" xsi:nil="true"/>
    <lcf76f155ced4ddcb4097134ff3c332f xmlns="1e581be0-4291-43f9-8d2c-75ba13af8cd9">
      <Terms xmlns="http://schemas.microsoft.com/office/infopath/2007/PartnerControls"/>
    </lcf76f155ced4ddcb4097134ff3c332f>
    <SharedWithUsers xmlns="ec5b4bbd-b27b-425b-8727-6ef4ce17364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934F-57F9-4A4D-925C-6D22F0CFE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581be0-4291-43f9-8d2c-75ba13af8cd9"/>
    <ds:schemaRef ds:uri="ec5b4bbd-b27b-425b-8727-6ef4ce173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63793-B4FA-458D-8056-B818DBE032FD}">
  <ds:schemaRefs>
    <ds:schemaRef ds:uri="http://schemas.microsoft.com/office/2006/metadata/properties"/>
    <ds:schemaRef ds:uri="http://schemas.microsoft.com/office/infopath/2007/PartnerControls"/>
    <ds:schemaRef ds:uri="ec5b4bbd-b27b-425b-8727-6ef4ce17364c"/>
    <ds:schemaRef ds:uri="http://schemas.microsoft.com/sharepoint/v3"/>
    <ds:schemaRef ds:uri="1e581be0-4291-43f9-8d2c-75ba13af8cd9"/>
  </ds:schemaRefs>
</ds:datastoreItem>
</file>

<file path=customXml/itemProps3.xml><?xml version="1.0" encoding="utf-8"?>
<ds:datastoreItem xmlns:ds="http://schemas.openxmlformats.org/officeDocument/2006/customXml" ds:itemID="{47D165F2-E51F-445A-A111-5124457978EA}">
  <ds:schemaRefs>
    <ds:schemaRef ds:uri="http://schemas.microsoft.com/sharepoint/v3/contenttype/forms"/>
  </ds:schemaRefs>
</ds:datastoreItem>
</file>

<file path=customXml/itemProps4.xml><?xml version="1.0" encoding="utf-8"?>
<ds:datastoreItem xmlns:ds="http://schemas.openxmlformats.org/officeDocument/2006/customXml" ds:itemID="{03C34D51-7B32-4E66-B8AC-3E7DEF8C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Business Continuity Plan Template for</vt:lpstr>
    </vt:vector>
  </TitlesOfParts>
  <Company>NASD</Company>
  <LinksUpToDate>false</LinksUpToDate>
  <CharactersWithSpaces>25220</CharactersWithSpaces>
  <SharedDoc>false</SharedDoc>
  <HLinks>
    <vt:vector size="84" baseType="variant">
      <vt:variant>
        <vt:i4>5046276</vt:i4>
      </vt:variant>
      <vt:variant>
        <vt:i4>33</vt:i4>
      </vt:variant>
      <vt:variant>
        <vt:i4>0</vt:i4>
      </vt:variant>
      <vt:variant>
        <vt:i4>5</vt:i4>
      </vt:variant>
      <vt:variant>
        <vt:lpwstr>https://www.finra.org/filing-reporting/finra-gateway</vt:lpwstr>
      </vt:variant>
      <vt:variant>
        <vt:lpwstr/>
      </vt:variant>
      <vt:variant>
        <vt:i4>2949177</vt:i4>
      </vt:variant>
      <vt:variant>
        <vt:i4>30</vt:i4>
      </vt:variant>
      <vt:variant>
        <vt:i4>0</vt:i4>
      </vt:variant>
      <vt:variant>
        <vt:i4>5</vt:i4>
      </vt:variant>
      <vt:variant>
        <vt:lpwstr>https://www.finra.org/filing-reporting/finra-contact-system</vt:lpwstr>
      </vt:variant>
      <vt:variant>
        <vt:lpwstr/>
      </vt:variant>
      <vt:variant>
        <vt:i4>2949177</vt:i4>
      </vt:variant>
      <vt:variant>
        <vt:i4>27</vt:i4>
      </vt:variant>
      <vt:variant>
        <vt:i4>0</vt:i4>
      </vt:variant>
      <vt:variant>
        <vt:i4>5</vt:i4>
      </vt:variant>
      <vt:variant>
        <vt:lpwstr>https://www.finra.org/filing-reporting/finra-contact-system</vt:lpwstr>
      </vt:variant>
      <vt:variant>
        <vt:lpwstr/>
      </vt:variant>
      <vt:variant>
        <vt:i4>2949177</vt:i4>
      </vt:variant>
      <vt:variant>
        <vt:i4>24</vt:i4>
      </vt:variant>
      <vt:variant>
        <vt:i4>0</vt:i4>
      </vt:variant>
      <vt:variant>
        <vt:i4>5</vt:i4>
      </vt:variant>
      <vt:variant>
        <vt:lpwstr>https://www.finra.org/filing-reporting/finra-contact-system</vt:lpwstr>
      </vt:variant>
      <vt:variant>
        <vt:lpwstr/>
      </vt:variant>
      <vt:variant>
        <vt:i4>2818080</vt:i4>
      </vt:variant>
      <vt:variant>
        <vt:i4>21</vt:i4>
      </vt:variant>
      <vt:variant>
        <vt:i4>0</vt:i4>
      </vt:variant>
      <vt:variant>
        <vt:i4>5</vt:i4>
      </vt:variant>
      <vt:variant>
        <vt:lpwstr>https://www.finra.org/rules-guidance/notices/21-29</vt:lpwstr>
      </vt:variant>
      <vt:variant>
        <vt:lpwstr/>
      </vt:variant>
      <vt:variant>
        <vt:i4>983132</vt:i4>
      </vt:variant>
      <vt:variant>
        <vt:i4>18</vt:i4>
      </vt:variant>
      <vt:variant>
        <vt:i4>0</vt:i4>
      </vt:variant>
      <vt:variant>
        <vt:i4>5</vt:i4>
      </vt:variant>
      <vt:variant>
        <vt:lpwstr>http://www.finra.org/Industry/Regulation/Notices/2005/P014736</vt:lpwstr>
      </vt:variant>
      <vt:variant>
        <vt:lpwstr/>
      </vt:variant>
      <vt:variant>
        <vt:i4>5177362</vt:i4>
      </vt:variant>
      <vt:variant>
        <vt:i4>15</vt:i4>
      </vt:variant>
      <vt:variant>
        <vt:i4>0</vt:i4>
      </vt:variant>
      <vt:variant>
        <vt:i4>5</vt:i4>
      </vt:variant>
      <vt:variant>
        <vt:lpwstr>https://www.finra.org/rules-guidance/key-topics/covid-19</vt:lpwstr>
      </vt:variant>
      <vt:variant>
        <vt:lpwstr/>
      </vt:variant>
      <vt:variant>
        <vt:i4>1245191</vt:i4>
      </vt:variant>
      <vt:variant>
        <vt:i4>12</vt:i4>
      </vt:variant>
      <vt:variant>
        <vt:i4>0</vt:i4>
      </vt:variant>
      <vt:variant>
        <vt:i4>5</vt:i4>
      </vt:variant>
      <vt:variant>
        <vt:lpwstr>https://www.finra.org/rules-guidance/key-topics/business-continuity-planning</vt:lpwstr>
      </vt:variant>
      <vt:variant>
        <vt:lpwstr/>
      </vt:variant>
      <vt:variant>
        <vt:i4>393342</vt:i4>
      </vt:variant>
      <vt:variant>
        <vt:i4>9</vt:i4>
      </vt:variant>
      <vt:variant>
        <vt:i4>0</vt:i4>
      </vt:variant>
      <vt:variant>
        <vt:i4>5</vt:i4>
      </vt:variant>
      <vt:variant>
        <vt:lpwstr>mailto:Sarah.Kwak@finra.org</vt:lpwstr>
      </vt:variant>
      <vt:variant>
        <vt:lpwstr/>
      </vt:variant>
      <vt:variant>
        <vt:i4>7471137</vt:i4>
      </vt:variant>
      <vt:variant>
        <vt:i4>3</vt:i4>
      </vt:variant>
      <vt:variant>
        <vt:i4>0</vt:i4>
      </vt:variant>
      <vt:variant>
        <vt:i4>5</vt:i4>
      </vt:variant>
      <vt:variant>
        <vt:lpwstr>https://www.finra.org/rules-guidance/key-topics</vt:lpwstr>
      </vt:variant>
      <vt:variant>
        <vt:lpwstr/>
      </vt:variant>
      <vt:variant>
        <vt:i4>1245191</vt:i4>
      </vt:variant>
      <vt:variant>
        <vt:i4>0</vt:i4>
      </vt:variant>
      <vt:variant>
        <vt:i4>0</vt:i4>
      </vt:variant>
      <vt:variant>
        <vt:i4>5</vt:i4>
      </vt:variant>
      <vt:variant>
        <vt:lpwstr>https://www.finra.org/rules-guidance/key-topics/business-continuity-planning</vt:lpwstr>
      </vt:variant>
      <vt:variant>
        <vt:lpwstr/>
      </vt:variant>
      <vt:variant>
        <vt:i4>786451</vt:i4>
      </vt:variant>
      <vt:variant>
        <vt:i4>0</vt:i4>
      </vt:variant>
      <vt:variant>
        <vt:i4>0</vt:i4>
      </vt:variant>
      <vt:variant>
        <vt:i4>5</vt:i4>
      </vt:variant>
      <vt:variant>
        <vt:lpwstr>https://www.nasaa.org/contact-your-regulator/</vt:lpwstr>
      </vt:variant>
      <vt:variant>
        <vt:lpwstr/>
      </vt:variant>
      <vt:variant>
        <vt:i4>1769588</vt:i4>
      </vt:variant>
      <vt:variant>
        <vt:i4>3</vt:i4>
      </vt:variant>
      <vt:variant>
        <vt:i4>0</vt:i4>
      </vt:variant>
      <vt:variant>
        <vt:i4>5</vt:i4>
      </vt:variant>
      <vt:variant>
        <vt:lpwstr>mailto:Gillian.Rosenstein@finra.org</vt:lpwstr>
      </vt:variant>
      <vt:variant>
        <vt:lpwstr/>
      </vt:variant>
      <vt:variant>
        <vt:i4>1769588</vt:i4>
      </vt:variant>
      <vt:variant>
        <vt:i4>0</vt:i4>
      </vt:variant>
      <vt:variant>
        <vt:i4>0</vt:i4>
      </vt:variant>
      <vt:variant>
        <vt:i4>5</vt:i4>
      </vt:variant>
      <vt:variant>
        <vt:lpwstr>mailto:Gillian.Rosenstein@finra.org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Template for</dc:title>
  <dc:creator>Valdez, Irita</dc:creator>
  <cp:lastModifiedBy>Tim Hoverman</cp:lastModifiedBy>
  <cp:revision>29</cp:revision>
  <cp:lastPrinted>2010-01-28T16:16:00Z</cp:lastPrinted>
  <dcterms:created xsi:type="dcterms:W3CDTF">2024-04-16T19:38:00Z</dcterms:created>
  <dcterms:modified xsi:type="dcterms:W3CDTF">2025-09-15T14:04:00Z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0x010100F5BD3AF5E8F7964894FCEEE3D7320F37</vt:lpwstr>
  </property>
  <property fmtid="{D5CDD505-2E9C-101B-9397-08002B2CF9AE}" pid="3" name="Order">
    <vt:r8>1992000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