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5C0" w:rsidRPr="00C035C0" w:rsidRDefault="00C035C0" w:rsidP="00C035C0">
      <w:pPr>
        <w:jc w:val="center"/>
      </w:pPr>
      <w:r>
        <w:rPr>
          <w:noProof/>
        </w:rPr>
        <w:drawing>
          <wp:inline distT="0" distB="0" distL="0" distR="0">
            <wp:extent cx="3035030" cy="1201551"/>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2-28 at 2.25.33 PM.png"/>
                    <pic:cNvPicPr/>
                  </pic:nvPicPr>
                  <pic:blipFill>
                    <a:blip r:embed="rId5">
                      <a:extLst>
                        <a:ext uri="{28A0092B-C50C-407E-A947-70E740481C1C}">
                          <a14:useLocalDpi xmlns:a14="http://schemas.microsoft.com/office/drawing/2010/main" val="0"/>
                        </a:ext>
                      </a:extLst>
                    </a:blip>
                    <a:stretch>
                      <a:fillRect/>
                    </a:stretch>
                  </pic:blipFill>
                  <pic:spPr>
                    <a:xfrm>
                      <a:off x="0" y="0"/>
                      <a:ext cx="3043805" cy="1205025"/>
                    </a:xfrm>
                    <a:prstGeom prst="rect">
                      <a:avLst/>
                    </a:prstGeom>
                  </pic:spPr>
                </pic:pic>
              </a:graphicData>
            </a:graphic>
          </wp:inline>
        </w:drawing>
      </w:r>
    </w:p>
    <w:p w:rsidR="00C035C0" w:rsidRDefault="00C035C0" w:rsidP="00C035C0"/>
    <w:p w:rsidR="00C035C0" w:rsidRPr="00C035C0" w:rsidRDefault="00C035C0" w:rsidP="00C035C0">
      <w:pPr>
        <w:tabs>
          <w:tab w:val="left" w:pos="1455"/>
        </w:tabs>
        <w:jc w:val="center"/>
        <w:rPr>
          <w:rFonts w:ascii="Helvetica" w:hAnsi="Helvetica"/>
          <w:b/>
          <w:sz w:val="26"/>
          <w:szCs w:val="26"/>
        </w:rPr>
      </w:pPr>
      <w:r w:rsidRPr="00C035C0">
        <w:rPr>
          <w:rFonts w:ascii="Helvetica" w:hAnsi="Helvetica"/>
          <w:b/>
          <w:sz w:val="26"/>
          <w:szCs w:val="26"/>
        </w:rPr>
        <w:t>Talking Points on CTAO’s Two Priority Bills</w:t>
      </w:r>
    </w:p>
    <w:p w:rsidR="00C035C0" w:rsidRPr="00C035C0" w:rsidRDefault="00C035C0" w:rsidP="00C035C0">
      <w:pPr>
        <w:tabs>
          <w:tab w:val="left" w:pos="1455"/>
        </w:tabs>
        <w:rPr>
          <w:rFonts w:ascii="Helvetica" w:hAnsi="Helvetica"/>
          <w:sz w:val="22"/>
          <w:szCs w:val="22"/>
        </w:rPr>
      </w:pPr>
    </w:p>
    <w:p w:rsidR="00C035C0" w:rsidRPr="00C035C0" w:rsidRDefault="00C035C0" w:rsidP="00C035C0">
      <w:pPr>
        <w:rPr>
          <w:rFonts w:ascii="Helvetica" w:eastAsia="Times New Roman" w:hAnsi="Helvetica" w:cs="Calibri"/>
          <w:color w:val="000000"/>
          <w:sz w:val="22"/>
          <w:szCs w:val="22"/>
        </w:rPr>
      </w:pPr>
      <w:r w:rsidRPr="00C035C0">
        <w:rPr>
          <w:rFonts w:ascii="Helvetica" w:eastAsia="Times New Roman" w:hAnsi="Helvetica" w:cs="Calibri"/>
          <w:color w:val="000000"/>
          <w:sz w:val="22"/>
          <w:szCs w:val="22"/>
        </w:rPr>
        <w:t xml:space="preserve">There are two legislative issues the CTAO is prioritizing this General Assembly, and they are the same as last GA: </w:t>
      </w:r>
    </w:p>
    <w:p w:rsidR="00C035C0" w:rsidRPr="00C035C0" w:rsidRDefault="00C035C0" w:rsidP="00C035C0">
      <w:pPr>
        <w:pStyle w:val="ListParagraph"/>
        <w:numPr>
          <w:ilvl w:val="0"/>
          <w:numId w:val="4"/>
        </w:numPr>
        <w:spacing w:before="0" w:beforeAutospacing="0" w:after="0" w:afterAutospacing="0"/>
        <w:rPr>
          <w:rFonts w:ascii="Helvetica" w:hAnsi="Helvetica" w:cs="Calibri"/>
          <w:color w:val="000000"/>
          <w:sz w:val="22"/>
          <w:szCs w:val="22"/>
        </w:rPr>
      </w:pPr>
      <w:r w:rsidRPr="00C035C0">
        <w:rPr>
          <w:rFonts w:ascii="Helvetica" w:hAnsi="Helvetica" w:cs="Calibri"/>
          <w:color w:val="000000"/>
          <w:sz w:val="22"/>
          <w:szCs w:val="22"/>
        </w:rPr>
        <w:t xml:space="preserve">our general treasurer liability negligence standard legislation (SB 15 this GA, formerly SB 321), and </w:t>
      </w:r>
    </w:p>
    <w:p w:rsidR="00C035C0" w:rsidRPr="00C035C0" w:rsidRDefault="00C035C0" w:rsidP="00C035C0">
      <w:pPr>
        <w:pStyle w:val="ListParagraph"/>
        <w:numPr>
          <w:ilvl w:val="0"/>
          <w:numId w:val="4"/>
        </w:numPr>
        <w:spacing w:before="0" w:beforeAutospacing="0" w:after="0" w:afterAutospacing="0"/>
        <w:rPr>
          <w:rFonts w:ascii="Helvetica" w:hAnsi="Helvetica" w:cs="Calibri"/>
          <w:color w:val="000000"/>
          <w:sz w:val="22"/>
          <w:szCs w:val="22"/>
        </w:rPr>
      </w:pPr>
      <w:r w:rsidRPr="00C035C0">
        <w:rPr>
          <w:rFonts w:ascii="Helvetica" w:hAnsi="Helvetica" w:cs="Calibri"/>
          <w:color w:val="000000"/>
          <w:sz w:val="22"/>
          <w:szCs w:val="22"/>
        </w:rPr>
        <w:t>our OPCS liability legislation, which has not yet been reintroduced this GA but should be dropped soon.</w:t>
      </w:r>
    </w:p>
    <w:p w:rsidR="00C035C0" w:rsidRDefault="00C035C0" w:rsidP="00C035C0">
      <w:pPr>
        <w:rPr>
          <w:rFonts w:ascii="Helvetica" w:hAnsi="Helvetica" w:cs="Calibri"/>
          <w:color w:val="000000"/>
          <w:sz w:val="22"/>
          <w:szCs w:val="22"/>
        </w:rPr>
      </w:pPr>
    </w:p>
    <w:p w:rsidR="00C035C0" w:rsidRPr="00C035C0" w:rsidRDefault="00C035C0" w:rsidP="00271117">
      <w:pPr>
        <w:rPr>
          <w:rFonts w:ascii="Helvetica" w:hAnsi="Helvetica" w:cs="Calibri"/>
          <w:color w:val="000000"/>
          <w:sz w:val="22"/>
          <w:szCs w:val="22"/>
        </w:rPr>
      </w:pPr>
      <w:r w:rsidRPr="00C035C0">
        <w:rPr>
          <w:rFonts w:ascii="Helvetica" w:hAnsi="Helvetica" w:cs="Calibri"/>
          <w:color w:val="000000"/>
          <w:sz w:val="22"/>
          <w:szCs w:val="22"/>
        </w:rPr>
        <w:t xml:space="preserve">It is always helpful for legislators to hear directly from their county treasurers about bills they are </w:t>
      </w:r>
      <w:r w:rsidR="00271117">
        <w:rPr>
          <w:rFonts w:ascii="Helvetica" w:hAnsi="Helvetica" w:cs="Calibri"/>
          <w:color w:val="000000"/>
          <w:sz w:val="22"/>
          <w:szCs w:val="22"/>
        </w:rPr>
        <w:t xml:space="preserve">reviewing and </w:t>
      </w:r>
      <w:r w:rsidRPr="00C035C0">
        <w:rPr>
          <w:rFonts w:ascii="Helvetica" w:hAnsi="Helvetica" w:cs="Calibri"/>
          <w:color w:val="000000"/>
          <w:sz w:val="22"/>
          <w:szCs w:val="22"/>
        </w:rPr>
        <w:t xml:space="preserve">also hearing from your legislative representation about. Below are some talking points you can use as you contact your legislators to educate them about these two priorities.  </w:t>
      </w:r>
    </w:p>
    <w:p w:rsidR="00C035C0" w:rsidRPr="00C035C0" w:rsidRDefault="00C035C0" w:rsidP="00C035C0">
      <w:pPr>
        <w:rPr>
          <w:rFonts w:ascii="Helvetica" w:eastAsia="Times New Roman" w:hAnsi="Helvetica" w:cs="Calibri"/>
          <w:color w:val="000000"/>
          <w:sz w:val="22"/>
          <w:szCs w:val="22"/>
        </w:rPr>
      </w:pPr>
      <w:r w:rsidRPr="00C035C0">
        <w:rPr>
          <w:rFonts w:ascii="Helvetica" w:eastAsia="Times New Roman" w:hAnsi="Helvetica" w:cs="Calibri"/>
          <w:color w:val="000000"/>
          <w:sz w:val="22"/>
          <w:szCs w:val="22"/>
        </w:rPr>
        <w:t> </w:t>
      </w:r>
    </w:p>
    <w:p w:rsidR="00C035C0" w:rsidRPr="00C035C0" w:rsidRDefault="00C035C0" w:rsidP="00C035C0">
      <w:pPr>
        <w:rPr>
          <w:rFonts w:ascii="Helvetica" w:eastAsia="Times New Roman" w:hAnsi="Helvetica" w:cs="Calibri"/>
          <w:color w:val="000000"/>
          <w:sz w:val="22"/>
          <w:szCs w:val="22"/>
        </w:rPr>
      </w:pPr>
      <w:r w:rsidRPr="00C035C0">
        <w:rPr>
          <w:rFonts w:ascii="Helvetica" w:eastAsia="Times New Roman" w:hAnsi="Helvetica" w:cs="Calibri"/>
          <w:b/>
          <w:bCs/>
          <w:color w:val="000000"/>
          <w:sz w:val="22"/>
          <w:szCs w:val="22"/>
        </w:rPr>
        <w:t>Talking Points for SB 15 (general treasurer liability negligence standard)</w:t>
      </w:r>
    </w:p>
    <w:p w:rsidR="00C035C0" w:rsidRPr="00C035C0" w:rsidRDefault="00C035C0" w:rsidP="00C035C0">
      <w:pPr>
        <w:numPr>
          <w:ilvl w:val="0"/>
          <w:numId w:val="1"/>
        </w:numPr>
        <w:ind w:left="1440"/>
        <w:rPr>
          <w:rFonts w:ascii="Helvetica" w:eastAsia="Times New Roman" w:hAnsi="Helvetica" w:cs="Calibri"/>
          <w:color w:val="000000"/>
          <w:sz w:val="22"/>
          <w:szCs w:val="22"/>
        </w:rPr>
      </w:pPr>
      <w:r w:rsidRPr="00C035C0">
        <w:rPr>
          <w:rFonts w:ascii="Helvetica" w:eastAsia="Times New Roman" w:hAnsi="Helvetica" w:cs="Calibri"/>
          <w:color w:val="000000"/>
          <w:sz w:val="22"/>
          <w:szCs w:val="22"/>
        </w:rPr>
        <w:t>SB 15 just had its second hearing in the Senate Local Government &amp; Elections Committee on February 23rd.</w:t>
      </w:r>
    </w:p>
    <w:p w:rsidR="00C035C0" w:rsidRPr="00C035C0" w:rsidRDefault="00C035C0" w:rsidP="00C035C0">
      <w:pPr>
        <w:numPr>
          <w:ilvl w:val="0"/>
          <w:numId w:val="1"/>
        </w:numPr>
        <w:ind w:left="1440"/>
        <w:rPr>
          <w:rFonts w:ascii="Helvetica" w:eastAsia="Times New Roman" w:hAnsi="Helvetica" w:cs="Calibri"/>
          <w:color w:val="000000"/>
          <w:sz w:val="22"/>
          <w:szCs w:val="22"/>
        </w:rPr>
      </w:pPr>
      <w:r w:rsidRPr="00C035C0">
        <w:rPr>
          <w:rFonts w:ascii="Helvetica" w:eastAsia="Times New Roman" w:hAnsi="Helvetica" w:cs="Calibri"/>
          <w:color w:val="000000"/>
          <w:sz w:val="22"/>
          <w:szCs w:val="22"/>
        </w:rPr>
        <w:t xml:space="preserve">SB 15 (formerly SB 321) simply provides a general negligence standard for all local government and public fiscal officers, including county treasurers. This year, the bill has been expanded to include </w:t>
      </w:r>
      <w:r w:rsidRPr="00C035C0">
        <w:rPr>
          <w:rFonts w:ascii="Helvetica" w:eastAsia="Times New Roman" w:hAnsi="Helvetica" w:cstheme="minorHAnsi"/>
          <w:color w:val="000000"/>
          <w:sz w:val="22"/>
          <w:szCs w:val="22"/>
        </w:rPr>
        <w:t xml:space="preserve">treasurers of a community college district, technical college district, state community college district, and fiscal officers of boards of library trustees. </w:t>
      </w:r>
      <w:r w:rsidRPr="00C035C0">
        <w:rPr>
          <w:rFonts w:ascii="Helvetica" w:eastAsia="Times New Roman" w:hAnsi="Helvetica" w:cs="Calibri"/>
          <w:color w:val="000000"/>
          <w:sz w:val="22"/>
          <w:szCs w:val="22"/>
        </w:rPr>
        <w:t>The language is similar to what was passed two General Assemblies ago for school treasurers and is noncontroversial.</w:t>
      </w:r>
    </w:p>
    <w:p w:rsidR="00C035C0" w:rsidRPr="00C035C0" w:rsidRDefault="00C035C0" w:rsidP="00C035C0">
      <w:pPr>
        <w:numPr>
          <w:ilvl w:val="0"/>
          <w:numId w:val="1"/>
        </w:numPr>
        <w:ind w:left="1440"/>
        <w:rPr>
          <w:rFonts w:ascii="Helvetica" w:eastAsia="Times New Roman" w:hAnsi="Helvetica" w:cs="Calibri"/>
          <w:color w:val="000000"/>
          <w:sz w:val="22"/>
          <w:szCs w:val="22"/>
        </w:rPr>
      </w:pPr>
      <w:r w:rsidRPr="00C035C0">
        <w:rPr>
          <w:rFonts w:ascii="Helvetica" w:eastAsia="Times New Roman" w:hAnsi="Helvetica" w:cs="Calibri"/>
          <w:color w:val="000000"/>
          <w:sz w:val="22"/>
          <w:szCs w:val="22"/>
        </w:rPr>
        <w:t>Under ORC 9.39, county treasurers are </w:t>
      </w:r>
      <w:r w:rsidRPr="00C035C0">
        <w:rPr>
          <w:rFonts w:ascii="Helvetica" w:eastAsia="Times New Roman" w:hAnsi="Helvetica" w:cs="Calibri"/>
          <w:color w:val="000000"/>
          <w:sz w:val="22"/>
          <w:szCs w:val="22"/>
          <w:u w:val="single"/>
        </w:rPr>
        <w:t>personally liable</w:t>
      </w:r>
      <w:r w:rsidRPr="00C035C0">
        <w:rPr>
          <w:rFonts w:ascii="Helvetica" w:eastAsia="Times New Roman" w:hAnsi="Helvetica" w:cs="Calibri"/>
          <w:color w:val="000000"/>
          <w:sz w:val="22"/>
          <w:szCs w:val="22"/>
        </w:rPr>
        <w:t> for any investments we manage. SB 15 clarifies that if I perform my duties responsibly and with “reasonable care,” I will not have that personal liability for any potentially adverse actions performed by a third party. </w:t>
      </w:r>
    </w:p>
    <w:p w:rsidR="00C035C0" w:rsidRPr="00C035C0" w:rsidRDefault="00C035C0" w:rsidP="00C035C0">
      <w:pPr>
        <w:numPr>
          <w:ilvl w:val="0"/>
          <w:numId w:val="1"/>
        </w:numPr>
        <w:ind w:left="1440"/>
        <w:rPr>
          <w:rFonts w:ascii="Helvetica" w:eastAsia="Times New Roman" w:hAnsi="Helvetica" w:cs="Calibri"/>
          <w:color w:val="000000"/>
          <w:sz w:val="22"/>
          <w:szCs w:val="22"/>
        </w:rPr>
      </w:pPr>
      <w:r w:rsidRPr="00C035C0">
        <w:rPr>
          <w:rFonts w:ascii="Helvetica" w:eastAsia="Times New Roman" w:hAnsi="Helvetica" w:cs="Calibri"/>
          <w:color w:val="000000"/>
          <w:sz w:val="22"/>
          <w:szCs w:val="22"/>
        </w:rPr>
        <w:t>The</w:t>
      </w:r>
      <w:r>
        <w:rPr>
          <w:rFonts w:ascii="Helvetica" w:eastAsia="Times New Roman" w:hAnsi="Helvetica" w:cs="Calibri"/>
          <w:color w:val="000000"/>
          <w:sz w:val="22"/>
          <w:szCs w:val="22"/>
        </w:rPr>
        <w:t xml:space="preserve"> bill is supported by all the associations representing the fiscal officers included in the bill (Ohio Municipal League, Ohio Township Association, </w:t>
      </w:r>
      <w:proofErr w:type="spellStart"/>
      <w:r>
        <w:rPr>
          <w:rFonts w:ascii="Helvetica" w:eastAsia="Times New Roman" w:hAnsi="Helvetica" w:cs="Calibri"/>
          <w:color w:val="000000"/>
          <w:sz w:val="22"/>
          <w:szCs w:val="22"/>
        </w:rPr>
        <w:t>etc</w:t>
      </w:r>
      <w:proofErr w:type="spellEnd"/>
      <w:r>
        <w:rPr>
          <w:rFonts w:ascii="Helvetica" w:eastAsia="Times New Roman" w:hAnsi="Helvetica" w:cs="Calibri"/>
          <w:color w:val="000000"/>
          <w:sz w:val="22"/>
          <w:szCs w:val="22"/>
        </w:rPr>
        <w:t>). The</w:t>
      </w:r>
      <w:r w:rsidRPr="00C035C0">
        <w:rPr>
          <w:rFonts w:ascii="Helvetica" w:eastAsia="Times New Roman" w:hAnsi="Helvetica" w:cs="Calibri"/>
          <w:color w:val="000000"/>
          <w:sz w:val="22"/>
          <w:szCs w:val="22"/>
        </w:rPr>
        <w:t>re are no opponents to this bill.</w:t>
      </w:r>
    </w:p>
    <w:p w:rsidR="00C035C0" w:rsidRPr="00C035C0" w:rsidRDefault="00C035C0" w:rsidP="00C035C0">
      <w:pPr>
        <w:rPr>
          <w:rFonts w:ascii="Helvetica" w:eastAsia="Times New Roman" w:hAnsi="Helvetica" w:cs="Calibri"/>
          <w:color w:val="000000"/>
          <w:sz w:val="22"/>
          <w:szCs w:val="22"/>
        </w:rPr>
      </w:pPr>
      <w:r w:rsidRPr="00C035C0">
        <w:rPr>
          <w:rFonts w:ascii="Helvetica" w:eastAsia="Times New Roman" w:hAnsi="Helvetica" w:cs="Calibri"/>
          <w:b/>
          <w:bCs/>
          <w:color w:val="000000"/>
          <w:sz w:val="22"/>
          <w:szCs w:val="22"/>
        </w:rPr>
        <w:t> </w:t>
      </w:r>
    </w:p>
    <w:p w:rsidR="00C035C0" w:rsidRPr="00C035C0" w:rsidRDefault="00C035C0" w:rsidP="00C035C0">
      <w:pPr>
        <w:rPr>
          <w:rFonts w:ascii="Helvetica" w:eastAsia="Times New Roman" w:hAnsi="Helvetica" w:cs="Calibri"/>
          <w:color w:val="000000"/>
          <w:sz w:val="22"/>
          <w:szCs w:val="22"/>
        </w:rPr>
      </w:pPr>
      <w:r w:rsidRPr="00C035C0">
        <w:rPr>
          <w:rFonts w:ascii="Helvetica" w:eastAsia="Times New Roman" w:hAnsi="Helvetica" w:cs="Calibri"/>
          <w:b/>
          <w:bCs/>
          <w:color w:val="000000"/>
          <w:sz w:val="22"/>
          <w:szCs w:val="22"/>
        </w:rPr>
        <w:t xml:space="preserve">Talking Points for OPCS liability bill (soon to be introduced by Sen. </w:t>
      </w:r>
      <w:proofErr w:type="spellStart"/>
      <w:r w:rsidRPr="00C035C0">
        <w:rPr>
          <w:rFonts w:ascii="Helvetica" w:eastAsia="Times New Roman" w:hAnsi="Helvetica" w:cs="Calibri"/>
          <w:b/>
          <w:bCs/>
          <w:color w:val="000000"/>
          <w:sz w:val="22"/>
          <w:szCs w:val="22"/>
        </w:rPr>
        <w:t>Schuring</w:t>
      </w:r>
      <w:proofErr w:type="spellEnd"/>
      <w:r w:rsidRPr="00C035C0">
        <w:rPr>
          <w:rFonts w:ascii="Helvetica" w:eastAsia="Times New Roman" w:hAnsi="Helvetica" w:cs="Calibri"/>
          <w:b/>
          <w:bCs/>
          <w:color w:val="000000"/>
          <w:sz w:val="22"/>
          <w:szCs w:val="22"/>
        </w:rPr>
        <w:t xml:space="preserve"> and receive a bill number)</w:t>
      </w:r>
    </w:p>
    <w:p w:rsidR="00C035C0" w:rsidRPr="00C035C0" w:rsidRDefault="00C035C0" w:rsidP="00C035C0">
      <w:pPr>
        <w:numPr>
          <w:ilvl w:val="0"/>
          <w:numId w:val="2"/>
        </w:numPr>
        <w:ind w:left="1440"/>
        <w:rPr>
          <w:rFonts w:ascii="Helvetica" w:eastAsia="Times New Roman" w:hAnsi="Helvetica" w:cs="Times New Roman"/>
          <w:color w:val="000000"/>
          <w:sz w:val="22"/>
          <w:szCs w:val="22"/>
        </w:rPr>
      </w:pPr>
      <w:r w:rsidRPr="00C035C0">
        <w:rPr>
          <w:rFonts w:ascii="Helvetica" w:eastAsia="Times New Roman" w:hAnsi="Helvetica" w:cs="Times New Roman"/>
          <w:color w:val="000000"/>
          <w:sz w:val="22"/>
          <w:szCs w:val="22"/>
        </w:rPr>
        <w:t>This bill helps remedy a problem county treasurers are having across the state with our investments in the Ohio Pooled Collateral System (OPCS) occasionally being undercollateralized without our advance notice or approval due to various factors.</w:t>
      </w:r>
    </w:p>
    <w:p w:rsidR="00C035C0" w:rsidRPr="00C035C0" w:rsidRDefault="00C035C0" w:rsidP="00C035C0">
      <w:pPr>
        <w:numPr>
          <w:ilvl w:val="0"/>
          <w:numId w:val="2"/>
        </w:numPr>
        <w:ind w:left="1440"/>
        <w:rPr>
          <w:rFonts w:ascii="Helvetica" w:eastAsia="Times New Roman" w:hAnsi="Helvetica" w:cs="Times New Roman"/>
          <w:color w:val="000000"/>
          <w:sz w:val="22"/>
          <w:szCs w:val="22"/>
        </w:rPr>
      </w:pPr>
      <w:r w:rsidRPr="00C035C0">
        <w:rPr>
          <w:rFonts w:ascii="Helvetica" w:eastAsia="Times New Roman" w:hAnsi="Helvetica" w:cs="Times New Roman"/>
          <w:color w:val="000000"/>
          <w:sz w:val="22"/>
          <w:szCs w:val="22"/>
          <w:u w:val="single"/>
        </w:rPr>
        <w:t>This bill helps to solve this problem and create certainty and protection for county treasurers in this scenario by doing two things:</w:t>
      </w:r>
    </w:p>
    <w:p w:rsidR="00C035C0" w:rsidRPr="00C035C0" w:rsidRDefault="00C035C0" w:rsidP="00C035C0">
      <w:pPr>
        <w:numPr>
          <w:ilvl w:val="1"/>
          <w:numId w:val="2"/>
        </w:numPr>
        <w:ind w:left="2160"/>
        <w:rPr>
          <w:rFonts w:ascii="Helvetica" w:eastAsia="Times New Roman" w:hAnsi="Helvetica" w:cs="Times New Roman"/>
          <w:color w:val="000000"/>
          <w:sz w:val="22"/>
          <w:szCs w:val="22"/>
        </w:rPr>
      </w:pPr>
      <w:r w:rsidRPr="00C035C0">
        <w:rPr>
          <w:rFonts w:ascii="Helvetica" w:eastAsia="Times New Roman" w:hAnsi="Helvetica" w:cs="Times New Roman"/>
          <w:color w:val="000000"/>
          <w:sz w:val="22"/>
          <w:szCs w:val="22"/>
        </w:rPr>
        <w:t xml:space="preserve">Giving financial institutions 2 business days to remedy any </w:t>
      </w:r>
      <w:proofErr w:type="spellStart"/>
      <w:r w:rsidRPr="00C035C0">
        <w:rPr>
          <w:rFonts w:ascii="Helvetica" w:eastAsia="Times New Roman" w:hAnsi="Helvetica" w:cs="Times New Roman"/>
          <w:color w:val="000000"/>
          <w:sz w:val="22"/>
          <w:szCs w:val="22"/>
        </w:rPr>
        <w:t xml:space="preserve">undercollateralization that may occur for </w:t>
      </w:r>
      <w:proofErr w:type="spellEnd"/>
      <w:r w:rsidRPr="00C035C0">
        <w:rPr>
          <w:rFonts w:ascii="Helvetica" w:eastAsia="Times New Roman" w:hAnsi="Helvetica" w:cs="Times New Roman"/>
          <w:color w:val="000000"/>
          <w:sz w:val="22"/>
          <w:szCs w:val="22"/>
        </w:rPr>
        <w:t>any reason</w:t>
      </w:r>
    </w:p>
    <w:p w:rsidR="00C035C0" w:rsidRPr="00C035C0" w:rsidRDefault="00C035C0" w:rsidP="00C035C0">
      <w:pPr>
        <w:numPr>
          <w:ilvl w:val="1"/>
          <w:numId w:val="2"/>
        </w:numPr>
        <w:ind w:left="2160"/>
        <w:rPr>
          <w:rFonts w:ascii="Helvetica" w:eastAsia="Times New Roman" w:hAnsi="Helvetica" w:cs="Times New Roman"/>
          <w:color w:val="000000"/>
          <w:sz w:val="22"/>
          <w:szCs w:val="22"/>
        </w:rPr>
      </w:pPr>
      <w:r w:rsidRPr="00C035C0">
        <w:rPr>
          <w:rFonts w:ascii="Helvetica" w:eastAsia="Times New Roman" w:hAnsi="Helvetica" w:cs="Times New Roman"/>
          <w:color w:val="000000"/>
          <w:sz w:val="22"/>
          <w:szCs w:val="22"/>
        </w:rPr>
        <w:t xml:space="preserve">Clarifying that if a bank </w:t>
      </w:r>
      <w:proofErr w:type="spellStart"/>
      <w:r w:rsidRPr="00C035C0">
        <w:rPr>
          <w:rFonts w:ascii="Helvetica" w:eastAsia="Times New Roman" w:hAnsi="Helvetica" w:cs="Times New Roman"/>
          <w:color w:val="000000"/>
          <w:sz w:val="22"/>
          <w:szCs w:val="22"/>
        </w:rPr>
        <w:t>undercollateralizes</w:t>
      </w:r>
      <w:proofErr w:type="spellEnd"/>
      <w:r w:rsidRPr="00C035C0">
        <w:rPr>
          <w:rFonts w:ascii="Helvetica" w:eastAsia="Times New Roman" w:hAnsi="Helvetica" w:cs="Times New Roman"/>
          <w:color w:val="000000"/>
          <w:sz w:val="22"/>
          <w:szCs w:val="22"/>
        </w:rPr>
        <w:t xml:space="preserve"> a county’s investment in OPCS, county treasurers are </w:t>
      </w:r>
      <w:r w:rsidRPr="00C035C0">
        <w:rPr>
          <w:rFonts w:ascii="Helvetica" w:eastAsia="Times New Roman" w:hAnsi="Helvetica" w:cs="Times New Roman"/>
          <w:b/>
          <w:bCs/>
          <w:i/>
          <w:iCs/>
          <w:color w:val="000000"/>
          <w:sz w:val="22"/>
          <w:szCs w:val="22"/>
        </w:rPr>
        <w:t>not liable </w:t>
      </w:r>
      <w:r w:rsidRPr="00C035C0">
        <w:rPr>
          <w:rFonts w:ascii="Helvetica" w:eastAsia="Times New Roman" w:hAnsi="Helvetica" w:cs="Times New Roman"/>
          <w:color w:val="000000"/>
          <w:sz w:val="22"/>
          <w:szCs w:val="22"/>
        </w:rPr>
        <w:t>for any funds lost as a result</w:t>
      </w:r>
    </w:p>
    <w:p w:rsidR="00C035C0" w:rsidRPr="00C035C0" w:rsidRDefault="00C035C0" w:rsidP="00C035C0">
      <w:pPr>
        <w:numPr>
          <w:ilvl w:val="0"/>
          <w:numId w:val="2"/>
        </w:numPr>
        <w:ind w:left="1440"/>
        <w:rPr>
          <w:rFonts w:ascii="Helvetica" w:eastAsia="Times New Roman" w:hAnsi="Helvetica" w:cs="Times New Roman"/>
          <w:color w:val="000000"/>
          <w:sz w:val="22"/>
          <w:szCs w:val="22"/>
        </w:rPr>
      </w:pPr>
      <w:r w:rsidRPr="00C035C0">
        <w:rPr>
          <w:rFonts w:ascii="Helvetica" w:eastAsia="Times New Roman" w:hAnsi="Helvetica" w:cs="Times New Roman"/>
          <w:color w:val="000000"/>
          <w:sz w:val="22"/>
          <w:szCs w:val="22"/>
        </w:rPr>
        <w:t>This is important because under ORC 9.39, county treasurers are </w:t>
      </w:r>
      <w:r w:rsidRPr="00C035C0">
        <w:rPr>
          <w:rFonts w:ascii="Helvetica" w:eastAsia="Times New Roman" w:hAnsi="Helvetica" w:cs="Times New Roman"/>
          <w:color w:val="000000"/>
          <w:sz w:val="22"/>
          <w:szCs w:val="22"/>
          <w:u w:val="single"/>
        </w:rPr>
        <w:t>personally liable</w:t>
      </w:r>
      <w:r w:rsidRPr="00C035C0">
        <w:rPr>
          <w:rFonts w:ascii="Helvetica" w:eastAsia="Times New Roman" w:hAnsi="Helvetica" w:cs="Times New Roman"/>
          <w:color w:val="000000"/>
          <w:sz w:val="22"/>
          <w:szCs w:val="22"/>
        </w:rPr>
        <w:t> for any investments they manage. </w:t>
      </w:r>
    </w:p>
    <w:p w:rsidR="00C035C0" w:rsidRPr="00271117" w:rsidRDefault="00C035C0" w:rsidP="002843D2">
      <w:pPr>
        <w:numPr>
          <w:ilvl w:val="0"/>
          <w:numId w:val="2"/>
        </w:numPr>
        <w:ind w:left="1440"/>
        <w:rPr>
          <w:rFonts w:ascii="Helvetica" w:eastAsia="Times New Roman" w:hAnsi="Helvetica" w:cs="Times New Roman"/>
          <w:color w:val="000000"/>
          <w:sz w:val="22"/>
          <w:szCs w:val="22"/>
        </w:rPr>
      </w:pPr>
      <w:r w:rsidRPr="00C035C0">
        <w:rPr>
          <w:rFonts w:ascii="Helvetica" w:eastAsia="Times New Roman" w:hAnsi="Helvetica" w:cs="Times New Roman"/>
          <w:color w:val="000000"/>
          <w:sz w:val="22"/>
          <w:szCs w:val="22"/>
        </w:rPr>
        <w:t>The bill has the support of the County Treasurers Association of Ohio and the Ohio Bankers League and has no opponents. Its predecessor last GA, SB 277, passed unanimously out of the Senate.</w:t>
      </w:r>
      <w:bookmarkStart w:id="0" w:name="_GoBack"/>
      <w:bookmarkEnd w:id="0"/>
    </w:p>
    <w:sectPr w:rsidR="00C035C0" w:rsidRPr="00271117" w:rsidSect="00271117">
      <w:pgSz w:w="12240" w:h="15840"/>
      <w:pgMar w:top="49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95811"/>
    <w:multiLevelType w:val="hybridMultilevel"/>
    <w:tmpl w:val="4D482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B620F"/>
    <w:multiLevelType w:val="multilevel"/>
    <w:tmpl w:val="31BA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CC4495"/>
    <w:multiLevelType w:val="multilevel"/>
    <w:tmpl w:val="A1942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191558"/>
    <w:multiLevelType w:val="hybridMultilevel"/>
    <w:tmpl w:val="037C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C0"/>
    <w:rsid w:val="00271117"/>
    <w:rsid w:val="00C035C0"/>
    <w:rsid w:val="00CF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E5E3"/>
  <w15:chartTrackingRefBased/>
  <w15:docId w15:val="{53067818-8F47-9146-8CBC-269B74AE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5C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0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179409">
      <w:bodyDiv w:val="1"/>
      <w:marLeft w:val="0"/>
      <w:marRight w:val="0"/>
      <w:marTop w:val="0"/>
      <w:marBottom w:val="0"/>
      <w:divBdr>
        <w:top w:val="none" w:sz="0" w:space="0" w:color="auto"/>
        <w:left w:val="none" w:sz="0" w:space="0" w:color="auto"/>
        <w:bottom w:val="none" w:sz="0" w:space="0" w:color="auto"/>
        <w:right w:val="none" w:sz="0" w:space="0" w:color="auto"/>
      </w:divBdr>
      <w:divsChild>
        <w:div w:id="22446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87033">
              <w:marLeft w:val="0"/>
              <w:marRight w:val="0"/>
              <w:marTop w:val="0"/>
              <w:marBottom w:val="0"/>
              <w:divBdr>
                <w:top w:val="none" w:sz="0" w:space="0" w:color="auto"/>
                <w:left w:val="none" w:sz="0" w:space="0" w:color="auto"/>
                <w:bottom w:val="none" w:sz="0" w:space="0" w:color="auto"/>
                <w:right w:val="none" w:sz="0" w:space="0" w:color="auto"/>
              </w:divBdr>
              <w:divsChild>
                <w:div w:id="18625518">
                  <w:marLeft w:val="0"/>
                  <w:marRight w:val="0"/>
                  <w:marTop w:val="0"/>
                  <w:marBottom w:val="0"/>
                  <w:divBdr>
                    <w:top w:val="none" w:sz="0" w:space="0" w:color="auto"/>
                    <w:left w:val="none" w:sz="0" w:space="0" w:color="auto"/>
                    <w:bottom w:val="none" w:sz="0" w:space="0" w:color="auto"/>
                    <w:right w:val="none" w:sz="0" w:space="0" w:color="auto"/>
                  </w:divBdr>
                </w:div>
                <w:div w:id="921523347">
                  <w:marLeft w:val="0"/>
                  <w:marRight w:val="0"/>
                  <w:marTop w:val="0"/>
                  <w:marBottom w:val="0"/>
                  <w:divBdr>
                    <w:top w:val="none" w:sz="0" w:space="0" w:color="auto"/>
                    <w:left w:val="none" w:sz="0" w:space="0" w:color="auto"/>
                    <w:bottom w:val="none" w:sz="0" w:space="0" w:color="auto"/>
                    <w:right w:val="none" w:sz="0" w:space="0" w:color="auto"/>
                  </w:divBdr>
                </w:div>
                <w:div w:id="454638841">
                  <w:marLeft w:val="0"/>
                  <w:marRight w:val="0"/>
                  <w:marTop w:val="0"/>
                  <w:marBottom w:val="0"/>
                  <w:divBdr>
                    <w:top w:val="none" w:sz="0" w:space="0" w:color="auto"/>
                    <w:left w:val="none" w:sz="0" w:space="0" w:color="auto"/>
                    <w:bottom w:val="none" w:sz="0" w:space="0" w:color="auto"/>
                    <w:right w:val="none" w:sz="0" w:space="0" w:color="auto"/>
                  </w:divBdr>
                </w:div>
                <w:div w:id="153255262">
                  <w:marLeft w:val="0"/>
                  <w:marRight w:val="0"/>
                  <w:marTop w:val="0"/>
                  <w:marBottom w:val="0"/>
                  <w:divBdr>
                    <w:top w:val="none" w:sz="0" w:space="0" w:color="auto"/>
                    <w:left w:val="none" w:sz="0" w:space="0" w:color="auto"/>
                    <w:bottom w:val="none" w:sz="0" w:space="0" w:color="auto"/>
                    <w:right w:val="none" w:sz="0" w:space="0" w:color="auto"/>
                  </w:divBdr>
                </w:div>
                <w:div w:id="6082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2021-02-25T18:11:00Z</dcterms:created>
  <dcterms:modified xsi:type="dcterms:W3CDTF">2021-02-25T18:23:00Z</dcterms:modified>
</cp:coreProperties>
</file>