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FE369" w14:textId="60776ED4" w:rsidR="00157F7B" w:rsidRDefault="00157F7B" w:rsidP="009C7FB7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noProof/>
          <w:color w:val="333333"/>
        </w:rPr>
        <w:drawing>
          <wp:inline distT="0" distB="0" distL="0" distR="0" wp14:anchorId="60E39BBF" wp14:editId="02A78DC2">
            <wp:extent cx="2059915" cy="102870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Indiana%20CMYK_i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424" cy="103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08F5" w14:textId="77777777" w:rsidR="00157F7B" w:rsidRDefault="00157F7B" w:rsidP="009C7FB7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14:paraId="561F3968" w14:textId="77777777" w:rsidR="00157F7B" w:rsidRPr="006E4406" w:rsidRDefault="00157F7B" w:rsidP="009C7FB7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14:paraId="3B6F5F59" w14:textId="77777777" w:rsidR="00430C25" w:rsidRPr="006E4406" w:rsidRDefault="00430C25" w:rsidP="00430C25">
      <w:pPr>
        <w:rPr>
          <w:rFonts w:ascii="Times New Roman" w:hAnsi="Times New Roman" w:cs="Times New Roman"/>
          <w:b/>
          <w:bCs/>
          <w:color w:val="515151"/>
          <w:sz w:val="28"/>
          <w:szCs w:val="28"/>
        </w:rPr>
      </w:pPr>
      <w:r w:rsidRPr="006E4406">
        <w:rPr>
          <w:rFonts w:ascii="Times New Roman" w:hAnsi="Times New Roman" w:cs="Times New Roman"/>
          <w:b/>
          <w:bCs/>
          <w:color w:val="515151"/>
          <w:sz w:val="28"/>
          <w:szCs w:val="28"/>
        </w:rPr>
        <w:t xml:space="preserve">2023 Legislative Session – </w:t>
      </w:r>
    </w:p>
    <w:p w14:paraId="3AA99F64" w14:textId="77777777" w:rsidR="00430C25" w:rsidRPr="006E4406" w:rsidRDefault="00430C25" w:rsidP="00430C25">
      <w:pPr>
        <w:rPr>
          <w:rFonts w:ascii="Times New Roman" w:hAnsi="Times New Roman" w:cs="Times New Roman"/>
          <w:color w:val="515151"/>
          <w:sz w:val="21"/>
          <w:szCs w:val="21"/>
        </w:rPr>
      </w:pPr>
    </w:p>
    <w:p w14:paraId="12E30A57" w14:textId="3C7D147B" w:rsidR="00A26279" w:rsidRPr="006E4406" w:rsidRDefault="00430C25" w:rsidP="00430C25">
      <w:pPr>
        <w:rPr>
          <w:rFonts w:ascii="Times New Roman" w:hAnsi="Times New Roman" w:cs="Times New Roman"/>
          <w:color w:val="515151"/>
        </w:rPr>
      </w:pPr>
      <w:r w:rsidRPr="006E4406">
        <w:rPr>
          <w:rFonts w:ascii="Times New Roman" w:hAnsi="Times New Roman" w:cs="Times New Roman"/>
          <w:color w:val="515151"/>
        </w:rPr>
        <w:t>2023 was a budget year</w:t>
      </w:r>
      <w:r w:rsidR="00A26279" w:rsidRPr="006E4406">
        <w:rPr>
          <w:rFonts w:ascii="Times New Roman" w:hAnsi="Times New Roman" w:cs="Times New Roman"/>
          <w:color w:val="515151"/>
        </w:rPr>
        <w:t xml:space="preserve">, </w:t>
      </w:r>
      <w:r w:rsidRPr="006E4406">
        <w:rPr>
          <w:rFonts w:ascii="Times New Roman" w:hAnsi="Times New Roman" w:cs="Times New Roman"/>
          <w:color w:val="515151"/>
        </w:rPr>
        <w:t>which occur</w:t>
      </w:r>
      <w:r w:rsidR="00A26279" w:rsidRPr="006E4406">
        <w:rPr>
          <w:rFonts w:ascii="Times New Roman" w:hAnsi="Times New Roman" w:cs="Times New Roman"/>
          <w:color w:val="515151"/>
        </w:rPr>
        <w:t>s</w:t>
      </w:r>
      <w:r w:rsidRPr="006E4406">
        <w:rPr>
          <w:rFonts w:ascii="Times New Roman" w:hAnsi="Times New Roman" w:cs="Times New Roman"/>
          <w:color w:val="515151"/>
        </w:rPr>
        <w:t xml:space="preserve"> every two-years in Indiana</w:t>
      </w:r>
      <w:r w:rsidR="00A26279" w:rsidRPr="006E4406">
        <w:rPr>
          <w:rFonts w:ascii="Times New Roman" w:hAnsi="Times New Roman" w:cs="Times New Roman"/>
          <w:color w:val="515151"/>
        </w:rPr>
        <w:t>. This m</w:t>
      </w:r>
      <w:r w:rsidRPr="006E4406">
        <w:rPr>
          <w:rFonts w:ascii="Times New Roman" w:hAnsi="Times New Roman" w:cs="Times New Roman"/>
          <w:color w:val="515151"/>
        </w:rPr>
        <w:t xml:space="preserve">eans that this “long” Session did not conclude until April 28. </w:t>
      </w:r>
      <w:r w:rsidR="002A38C2">
        <w:rPr>
          <w:rFonts w:ascii="Times New Roman" w:hAnsi="Times New Roman" w:cs="Times New Roman"/>
          <w:color w:val="515151"/>
        </w:rPr>
        <w:t xml:space="preserve"> </w:t>
      </w:r>
      <w:r w:rsidR="002A38C2" w:rsidRPr="002A38C2">
        <w:rPr>
          <w:rFonts w:ascii="Times New Roman" w:hAnsi="Times New Roman" w:cs="Times New Roman"/>
          <w:color w:val="515151"/>
          <w:u w:val="single"/>
        </w:rPr>
        <w:t>Unless otherwise noted (like in HB 1454), all new legislation becomes effective July 1, 2023.</w:t>
      </w:r>
      <w:r w:rsidR="002A38C2">
        <w:rPr>
          <w:rFonts w:ascii="Times New Roman" w:hAnsi="Times New Roman" w:cs="Times New Roman"/>
          <w:color w:val="515151"/>
        </w:rPr>
        <w:t xml:space="preserve">  </w:t>
      </w:r>
    </w:p>
    <w:p w14:paraId="2EE2D161" w14:textId="77777777" w:rsidR="00A26279" w:rsidRPr="006E4406" w:rsidRDefault="00A26279" w:rsidP="00430C25">
      <w:pPr>
        <w:rPr>
          <w:rFonts w:ascii="Times New Roman" w:hAnsi="Times New Roman" w:cs="Times New Roman"/>
          <w:color w:val="515151"/>
        </w:rPr>
      </w:pPr>
    </w:p>
    <w:p w14:paraId="185492CD" w14:textId="43802181" w:rsidR="00430C25" w:rsidRPr="006E4406" w:rsidRDefault="00430C25" w:rsidP="00430C25">
      <w:pPr>
        <w:rPr>
          <w:rFonts w:ascii="Times New Roman" w:hAnsi="Times New Roman" w:cs="Times New Roman"/>
          <w:color w:val="515151"/>
        </w:rPr>
      </w:pPr>
      <w:r w:rsidRPr="006E4406">
        <w:rPr>
          <w:rFonts w:ascii="Times New Roman" w:hAnsi="Times New Roman" w:cs="Times New Roman"/>
        </w:rPr>
        <w:t xml:space="preserve">The LeadingAge Indiana </w:t>
      </w:r>
      <w:r w:rsidR="006E4406">
        <w:rPr>
          <w:rFonts w:ascii="Times New Roman" w:hAnsi="Times New Roman" w:cs="Times New Roman"/>
        </w:rPr>
        <w:t>T</w:t>
      </w:r>
      <w:r w:rsidRPr="006E4406">
        <w:rPr>
          <w:rFonts w:ascii="Times New Roman" w:hAnsi="Times New Roman" w:cs="Times New Roman"/>
        </w:rPr>
        <w:t xml:space="preserve">eam worked hard this Session educating and persuading legislators on two Bills in particular: </w:t>
      </w:r>
      <w:hyperlink r:id="rId8" w:history="1">
        <w:r w:rsidR="00C91B14" w:rsidRPr="00C91B14">
          <w:rPr>
            <w:rStyle w:val="Hyperlink"/>
            <w:rFonts w:ascii="Times New Roman" w:hAnsi="Times New Roman" w:cs="Times New Roman"/>
          </w:rPr>
          <w:t xml:space="preserve">House Bill (HB) 1461 – Long-Term </w:t>
        </w:r>
        <w:r w:rsidR="00C91B14" w:rsidRPr="00C91B14">
          <w:rPr>
            <w:rStyle w:val="Hyperlink"/>
            <w:rFonts w:ascii="Times New Roman" w:hAnsi="Times New Roman" w:cs="Times New Roman"/>
          </w:rPr>
          <w:t>C</w:t>
        </w:r>
        <w:r w:rsidR="00C91B14" w:rsidRPr="00C91B14">
          <w:rPr>
            <w:rStyle w:val="Hyperlink"/>
            <w:rFonts w:ascii="Times New Roman" w:hAnsi="Times New Roman" w:cs="Times New Roman"/>
          </w:rPr>
          <w:t>are Services</w:t>
        </w:r>
      </w:hyperlink>
      <w:r w:rsidR="00C91B14">
        <w:rPr>
          <w:rFonts w:ascii="Times New Roman" w:hAnsi="Times New Roman" w:cs="Times New Roman"/>
        </w:rPr>
        <w:t xml:space="preserve">; and </w:t>
      </w:r>
      <w:hyperlink r:id="rId9" w:history="1">
        <w:r w:rsidR="00C91B14" w:rsidRPr="00C91B14">
          <w:rPr>
            <w:rStyle w:val="Hyperlink"/>
            <w:rFonts w:ascii="Times New Roman" w:hAnsi="Times New Roman" w:cs="Times New Roman"/>
          </w:rPr>
          <w:t>HB 1454 – Department of Local Government and Finance</w:t>
        </w:r>
      </w:hyperlink>
      <w:r w:rsidR="00C91B14">
        <w:rPr>
          <w:rFonts w:ascii="Times New Roman" w:hAnsi="Times New Roman" w:cs="Times New Roman"/>
        </w:rPr>
        <w:t xml:space="preserve"> (p</w:t>
      </w:r>
      <w:r w:rsidRPr="006E4406">
        <w:rPr>
          <w:rFonts w:ascii="Times New Roman" w:eastAsia="Times New Roman" w:hAnsi="Times New Roman" w:cs="Times New Roman"/>
          <w:shd w:val="clear" w:color="auto" w:fill="FFFFFF"/>
        </w:rPr>
        <w:t xml:space="preserve">roperty </w:t>
      </w:r>
      <w:r w:rsidR="00C91B14">
        <w:rPr>
          <w:rFonts w:ascii="Times New Roman" w:eastAsia="Times New Roman" w:hAnsi="Times New Roman" w:cs="Times New Roman"/>
          <w:shd w:val="clear" w:color="auto" w:fill="FFFFFF"/>
        </w:rPr>
        <w:t>t</w:t>
      </w:r>
      <w:r w:rsidRPr="006E4406">
        <w:rPr>
          <w:rFonts w:ascii="Times New Roman" w:eastAsia="Times New Roman" w:hAnsi="Times New Roman" w:cs="Times New Roman"/>
          <w:shd w:val="clear" w:color="auto" w:fill="FFFFFF"/>
        </w:rPr>
        <w:t xml:space="preserve">ax </w:t>
      </w:r>
      <w:r w:rsidR="00C91B14">
        <w:rPr>
          <w:rFonts w:ascii="Times New Roman" w:eastAsia="Times New Roman" w:hAnsi="Times New Roman" w:cs="Times New Roman"/>
          <w:shd w:val="clear" w:color="auto" w:fill="FFFFFF"/>
        </w:rPr>
        <w:t>e</w:t>
      </w:r>
      <w:r w:rsidRPr="006E4406">
        <w:rPr>
          <w:rFonts w:ascii="Times New Roman" w:eastAsia="Times New Roman" w:hAnsi="Times New Roman" w:cs="Times New Roman"/>
          <w:shd w:val="clear" w:color="auto" w:fill="FFFFFF"/>
        </w:rPr>
        <w:t xml:space="preserve">xemption language). </w:t>
      </w:r>
      <w:r w:rsidR="006E4406">
        <w:rPr>
          <w:rFonts w:ascii="Times New Roman" w:eastAsia="Times New Roman" w:hAnsi="Times New Roman" w:cs="Times New Roman"/>
          <w:shd w:val="clear" w:color="auto" w:fill="FFFFFF"/>
        </w:rPr>
        <w:t>The Team delivered some s</w:t>
      </w:r>
      <w:r w:rsidRPr="006E4406">
        <w:rPr>
          <w:rFonts w:ascii="Times New Roman" w:hAnsi="Times New Roman" w:cs="Times New Roman"/>
        </w:rPr>
        <w:t>ignificant achievements overall and</w:t>
      </w:r>
      <w:r w:rsidR="00AD7826">
        <w:rPr>
          <w:rFonts w:ascii="Times New Roman" w:hAnsi="Times New Roman" w:cs="Times New Roman"/>
        </w:rPr>
        <w:t>,</w:t>
      </w:r>
      <w:r w:rsidRPr="006E4406">
        <w:rPr>
          <w:rFonts w:ascii="Times New Roman" w:hAnsi="Times New Roman" w:cs="Times New Roman"/>
        </w:rPr>
        <w:t xml:space="preserve"> </w:t>
      </w:r>
      <w:proofErr w:type="gramStart"/>
      <w:r w:rsidRPr="006E4406">
        <w:rPr>
          <w:rFonts w:ascii="Times New Roman" w:hAnsi="Times New Roman" w:cs="Times New Roman"/>
        </w:rPr>
        <w:t>in particular with</w:t>
      </w:r>
      <w:proofErr w:type="gramEnd"/>
      <w:r w:rsidRPr="006E4406">
        <w:rPr>
          <w:rFonts w:ascii="Times New Roman" w:hAnsi="Times New Roman" w:cs="Times New Roman"/>
        </w:rPr>
        <w:t xml:space="preserve"> respect to those two Bills – all of which is described below.  Members can also review the </w:t>
      </w:r>
      <w:hyperlink r:id="rId10" w:history="1">
        <w:r w:rsidR="006E4406" w:rsidRPr="00C91B14">
          <w:rPr>
            <w:rStyle w:val="Hyperlink"/>
            <w:rFonts w:ascii="Times New Roman" w:hAnsi="Times New Roman" w:cs="Times New Roman"/>
          </w:rPr>
          <w:t>f</w:t>
        </w:r>
        <w:r w:rsidRPr="00C91B14">
          <w:rPr>
            <w:rStyle w:val="Hyperlink"/>
            <w:rFonts w:ascii="Times New Roman" w:hAnsi="Times New Roman" w:cs="Times New Roman"/>
          </w:rPr>
          <w:t>in</w:t>
        </w:r>
        <w:r w:rsidRPr="00C91B14">
          <w:rPr>
            <w:rStyle w:val="Hyperlink"/>
            <w:rFonts w:ascii="Times New Roman" w:hAnsi="Times New Roman" w:cs="Times New Roman"/>
          </w:rPr>
          <w:t>a</w:t>
        </w:r>
        <w:r w:rsidRPr="00C91B14">
          <w:rPr>
            <w:rStyle w:val="Hyperlink"/>
            <w:rFonts w:ascii="Times New Roman" w:hAnsi="Times New Roman" w:cs="Times New Roman"/>
          </w:rPr>
          <w:t>l</w:t>
        </w:r>
        <w:r w:rsidRPr="00C91B14">
          <w:rPr>
            <w:rStyle w:val="Hyperlink"/>
            <w:rFonts w:ascii="Times New Roman" w:hAnsi="Times New Roman" w:cs="Times New Roman"/>
          </w:rPr>
          <w:t xml:space="preserve"> Bill T</w:t>
        </w:r>
        <w:r w:rsidRPr="00C91B14">
          <w:rPr>
            <w:rStyle w:val="Hyperlink"/>
            <w:rFonts w:ascii="Times New Roman" w:hAnsi="Times New Roman" w:cs="Times New Roman"/>
          </w:rPr>
          <w:t>r</w:t>
        </w:r>
        <w:r w:rsidRPr="00C91B14">
          <w:rPr>
            <w:rStyle w:val="Hyperlink"/>
            <w:rFonts w:ascii="Times New Roman" w:hAnsi="Times New Roman" w:cs="Times New Roman"/>
          </w:rPr>
          <w:t>a</w:t>
        </w:r>
        <w:r w:rsidRPr="00C91B14">
          <w:rPr>
            <w:rStyle w:val="Hyperlink"/>
            <w:rFonts w:ascii="Times New Roman" w:hAnsi="Times New Roman" w:cs="Times New Roman"/>
          </w:rPr>
          <w:t>ck List</w:t>
        </w:r>
      </w:hyperlink>
      <w:r w:rsidRPr="006E4406">
        <w:rPr>
          <w:rFonts w:ascii="Times New Roman" w:hAnsi="Times New Roman" w:cs="Times New Roman"/>
          <w:color w:val="515151"/>
        </w:rPr>
        <w:t xml:space="preserve"> </w:t>
      </w:r>
      <w:r w:rsidRPr="006E4406">
        <w:rPr>
          <w:rFonts w:ascii="Times New Roman" w:hAnsi="Times New Roman" w:cs="Times New Roman"/>
        </w:rPr>
        <w:t xml:space="preserve">for a summary of all relevant Bills that passed this Session.  </w:t>
      </w:r>
      <w:r w:rsidR="00530373" w:rsidRPr="006E4406">
        <w:rPr>
          <w:rFonts w:ascii="Times New Roman" w:hAnsi="Times New Roman" w:cs="Times New Roman"/>
        </w:rPr>
        <w:t xml:space="preserve">All Bills (passed or not) from this past Session can be found </w:t>
      </w:r>
      <w:hyperlink r:id="rId11" w:history="1">
        <w:r w:rsidR="00530373" w:rsidRPr="006E4406">
          <w:rPr>
            <w:rStyle w:val="Hyperlink"/>
            <w:rFonts w:ascii="Times New Roman" w:hAnsi="Times New Roman" w:cs="Times New Roman"/>
          </w:rPr>
          <w:t>her</w:t>
        </w:r>
        <w:r w:rsidR="00530373" w:rsidRPr="006E4406">
          <w:rPr>
            <w:rStyle w:val="Hyperlink"/>
            <w:rFonts w:ascii="Times New Roman" w:hAnsi="Times New Roman" w:cs="Times New Roman"/>
          </w:rPr>
          <w:t>e</w:t>
        </w:r>
      </w:hyperlink>
      <w:r w:rsidR="00530373" w:rsidRPr="006E4406">
        <w:rPr>
          <w:rFonts w:ascii="Times New Roman" w:hAnsi="Times New Roman" w:cs="Times New Roman"/>
          <w:color w:val="515151"/>
        </w:rPr>
        <w:t xml:space="preserve">.  </w:t>
      </w:r>
    </w:p>
    <w:p w14:paraId="7F908348" w14:textId="77777777" w:rsidR="00430C25" w:rsidRPr="006E4406" w:rsidRDefault="00430C25" w:rsidP="00430C25">
      <w:pPr>
        <w:rPr>
          <w:rFonts w:ascii="Times New Roman" w:hAnsi="Times New Roman" w:cs="Times New Roman"/>
          <w:color w:val="515151"/>
          <w:sz w:val="21"/>
          <w:szCs w:val="21"/>
        </w:rPr>
      </w:pPr>
    </w:p>
    <w:p w14:paraId="772EC6E6" w14:textId="77777777" w:rsidR="00015934" w:rsidRPr="00015934" w:rsidRDefault="00015934" w:rsidP="00015934">
      <w:pPr>
        <w:pStyle w:val="bill-item"/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hyperlink r:id="rId12" w:history="1">
        <w:r w:rsidRPr="00015934">
          <w:rPr>
            <w:rStyle w:val="Strong"/>
            <w:rFonts w:ascii="Times New Roman" w:hAnsi="Times New Roman" w:cs="Times New Roman"/>
            <w:color w:val="005580"/>
            <w:sz w:val="28"/>
            <w:szCs w:val="28"/>
          </w:rPr>
          <w:t>HB 1001</w:t>
        </w:r>
        <w:r w:rsidRPr="00015934">
          <w:rPr>
            <w:rStyle w:val="Hyperlink"/>
            <w:rFonts w:ascii="Times New Roman" w:hAnsi="Times New Roman" w:cs="Times New Roman"/>
            <w:color w:val="005580"/>
            <w:sz w:val="28"/>
            <w:szCs w:val="28"/>
            <w:u w:val="none"/>
          </w:rPr>
          <w:t>:</w:t>
        </w:r>
        <w:r w:rsidRPr="00015934">
          <w:rPr>
            <w:rStyle w:val="Hyperlink"/>
            <w:rFonts w:ascii="Times New Roman" w:hAnsi="Times New Roman" w:cs="Times New Roman"/>
            <w:b/>
            <w:bCs/>
            <w:color w:val="005580"/>
            <w:sz w:val="28"/>
            <w:szCs w:val="28"/>
            <w:u w:val="none"/>
          </w:rPr>
          <w:t xml:space="preserve"> State budget.</w:t>
        </w:r>
      </w:hyperlink>
    </w:p>
    <w:p w14:paraId="167E2571" w14:textId="2686E1CB" w:rsidR="00430C25" w:rsidRPr="006E4406" w:rsidRDefault="00430C25" w:rsidP="00430C25">
      <w:pPr>
        <w:pStyle w:val="bill-item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The Budget Bill </w:t>
      </w:r>
      <w:r w:rsidRPr="006E4406"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>ully fund</w:t>
      </w:r>
      <w:r w:rsid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s </w:t>
      </w:r>
      <w:r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>the Governor/</w:t>
      </w:r>
      <w:proofErr w:type="spellStart"/>
      <w:r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>FSSA’s</w:t>
      </w:r>
      <w:proofErr w:type="spellEnd"/>
      <w:r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 Medicaid appropriation at $3,721,500,000 for FY 24; $4,196,600,000for FY 25.</w:t>
      </w:r>
    </w:p>
    <w:p w14:paraId="006F1EC5" w14:textId="0A59A529" w:rsidR="00430C25" w:rsidRPr="006E4406" w:rsidRDefault="006E4406" w:rsidP="00430C25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515151"/>
        </w:rPr>
      </w:pPr>
      <w:r>
        <w:rPr>
          <w:rFonts w:ascii="Times New Roman" w:eastAsia="Times New Roman" w:hAnsi="Times New Roman" w:cs="Times New Roman"/>
          <w:color w:val="515151"/>
        </w:rPr>
        <w:t>C</w:t>
      </w:r>
      <w:r w:rsidR="00430C25" w:rsidRPr="006E4406">
        <w:rPr>
          <w:rFonts w:ascii="Times New Roman" w:eastAsia="Times New Roman" w:hAnsi="Times New Roman" w:cs="Times New Roman"/>
          <w:color w:val="515151"/>
        </w:rPr>
        <w:t>ontain</w:t>
      </w:r>
      <w:r>
        <w:rPr>
          <w:rFonts w:ascii="Times New Roman" w:eastAsia="Times New Roman" w:hAnsi="Times New Roman" w:cs="Times New Roman"/>
          <w:color w:val="515151"/>
        </w:rPr>
        <w:t xml:space="preserve">s </w:t>
      </w:r>
      <w:r w:rsidR="00430C25" w:rsidRPr="006E4406">
        <w:rPr>
          <w:rFonts w:ascii="Times New Roman" w:eastAsia="Times New Roman" w:hAnsi="Times New Roman" w:cs="Times New Roman"/>
          <w:color w:val="515151"/>
        </w:rPr>
        <w:t xml:space="preserve">specific funding for </w:t>
      </w:r>
      <w:proofErr w:type="spellStart"/>
      <w:r w:rsidR="00430C25" w:rsidRPr="006E4406">
        <w:rPr>
          <w:rFonts w:ascii="Times New Roman" w:eastAsia="Times New Roman" w:hAnsi="Times New Roman" w:cs="Times New Roman"/>
          <w:color w:val="515151"/>
        </w:rPr>
        <w:t>FSSA’s</w:t>
      </w:r>
      <w:proofErr w:type="spellEnd"/>
      <w:r w:rsidR="00430C25" w:rsidRPr="006E4406">
        <w:rPr>
          <w:rFonts w:ascii="Times New Roman" w:eastAsia="Times New Roman" w:hAnsi="Times New Roman" w:cs="Times New Roman"/>
          <w:color w:val="515151"/>
        </w:rPr>
        <w:t xml:space="preserve"> rate matrix</w:t>
      </w:r>
      <w:r w:rsidR="00AD7826">
        <w:rPr>
          <w:rFonts w:ascii="Times New Roman" w:eastAsia="Times New Roman" w:hAnsi="Times New Roman" w:cs="Times New Roman"/>
          <w:color w:val="515151"/>
        </w:rPr>
        <w:t xml:space="preserve">, </w:t>
      </w:r>
      <w:r w:rsidR="00430C25" w:rsidRPr="006E4406">
        <w:rPr>
          <w:rFonts w:ascii="Times New Roman" w:eastAsia="Times New Roman" w:hAnsi="Times New Roman" w:cs="Times New Roman"/>
          <w:color w:val="515151"/>
        </w:rPr>
        <w:t xml:space="preserve">covering HCBS waiver services, dentists, home health agencies, and other providers.  </w:t>
      </w:r>
    </w:p>
    <w:p w14:paraId="41FC2051" w14:textId="0AA26154" w:rsidR="00430C25" w:rsidRPr="00015934" w:rsidRDefault="006E4406" w:rsidP="00430C25">
      <w:pPr>
        <w:pStyle w:val="bill-item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15151"/>
          <w:sz w:val="24"/>
          <w:szCs w:val="24"/>
        </w:rPr>
        <w:t>E</w:t>
      </w:r>
      <w:r w:rsidR="00430C25"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>stablishe</w:t>
      </w:r>
      <w:r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s </w:t>
      </w:r>
      <w:r w:rsidR="00430C25"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>a minimum 4-year rate schedule for Medicaid providers who do</w:t>
      </w:r>
      <w:r w:rsidR="00A26279"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 not</w:t>
      </w:r>
      <w:r w:rsidR="00430C25"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 currently have a schedule (AL and other </w:t>
      </w:r>
      <w:proofErr w:type="spellStart"/>
      <w:r w:rsidR="00430C25"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>A&amp;D</w:t>
      </w:r>
      <w:proofErr w:type="spellEnd"/>
      <w:r w:rsidR="00430C25"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 Waiver services).  This was originally part of </w:t>
      </w:r>
      <w:r w:rsidR="00430C25" w:rsidRPr="00015934">
        <w:rPr>
          <w:rFonts w:ascii="Times New Roman" w:eastAsia="Times New Roman" w:hAnsi="Times New Roman" w:cs="Times New Roman"/>
          <w:sz w:val="24"/>
          <w:szCs w:val="24"/>
        </w:rPr>
        <w:t xml:space="preserve">HB 1461: Long term services. </w:t>
      </w:r>
    </w:p>
    <w:p w14:paraId="0070987A" w14:textId="76E62011" w:rsidR="00430C25" w:rsidRPr="006E4406" w:rsidRDefault="006E4406" w:rsidP="00430C25">
      <w:pPr>
        <w:pStyle w:val="bill-item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r>
        <w:rPr>
          <w:rFonts w:ascii="Times New Roman" w:eastAsia="Times New Roman" w:hAnsi="Times New Roman" w:cs="Times New Roman"/>
          <w:color w:val="515151"/>
          <w:sz w:val="24"/>
          <w:szCs w:val="24"/>
        </w:rPr>
        <w:t>E</w:t>
      </w:r>
      <w:r w:rsidR="00430C25"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>xtend</w:t>
      </w:r>
      <w:r>
        <w:rPr>
          <w:rFonts w:ascii="Times New Roman" w:eastAsia="Times New Roman" w:hAnsi="Times New Roman" w:cs="Times New Roman"/>
          <w:color w:val="515151"/>
          <w:sz w:val="24"/>
          <w:szCs w:val="24"/>
        </w:rPr>
        <w:t>s</w:t>
      </w:r>
      <w:r w:rsidR="00430C25"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 the </w:t>
      </w:r>
      <w:r w:rsidR="00AD7826"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>Q</w:t>
      </w:r>
      <w:r w:rsidR="00AD7826">
        <w:rPr>
          <w:rFonts w:ascii="Times New Roman" w:eastAsia="Times New Roman" w:hAnsi="Times New Roman" w:cs="Times New Roman"/>
          <w:color w:val="515151"/>
          <w:sz w:val="24"/>
          <w:szCs w:val="24"/>
        </w:rPr>
        <w:t>uality Assessment Fee (</w:t>
      </w:r>
      <w:proofErr w:type="spellStart"/>
      <w:r w:rsidR="00AD7826">
        <w:rPr>
          <w:rFonts w:ascii="Times New Roman" w:eastAsia="Times New Roman" w:hAnsi="Times New Roman" w:cs="Times New Roman"/>
          <w:color w:val="515151"/>
          <w:sz w:val="24"/>
          <w:szCs w:val="24"/>
        </w:rPr>
        <w:t>QAF</w:t>
      </w:r>
      <w:proofErr w:type="spellEnd"/>
      <w:r w:rsidR="00AD7826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) </w:t>
      </w:r>
      <w:r w:rsidR="00430C25"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>for another two years at current rates (also in HB 1461</w:t>
      </w:r>
      <w:r w:rsidR="00A26279" w:rsidRPr="006E4406">
        <w:rPr>
          <w:rFonts w:ascii="Times New Roman" w:eastAsia="Times New Roman" w:hAnsi="Times New Roman" w:cs="Times New Roman"/>
          <w:color w:val="515151"/>
          <w:sz w:val="24"/>
          <w:szCs w:val="24"/>
        </w:rPr>
        <w:t xml:space="preserve">).  </w:t>
      </w:r>
    </w:p>
    <w:p w14:paraId="7A961F1D" w14:textId="5E6A8F69" w:rsidR="00430C25" w:rsidRPr="006E4406" w:rsidRDefault="006E4406" w:rsidP="00430C25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515151"/>
        </w:rPr>
      </w:pPr>
      <w:r>
        <w:rPr>
          <w:rFonts w:ascii="Times New Roman" w:eastAsia="Times New Roman" w:hAnsi="Times New Roman" w:cs="Times New Roman"/>
          <w:color w:val="515151"/>
        </w:rPr>
        <w:t>E</w:t>
      </w:r>
      <w:r w:rsidR="00430C25" w:rsidRPr="006E4406">
        <w:rPr>
          <w:rFonts w:ascii="Times New Roman" w:eastAsia="Times New Roman" w:hAnsi="Times New Roman" w:cs="Times New Roman"/>
          <w:color w:val="515151"/>
        </w:rPr>
        <w:t>stablish</w:t>
      </w:r>
      <w:r>
        <w:rPr>
          <w:rFonts w:ascii="Times New Roman" w:eastAsia="Times New Roman" w:hAnsi="Times New Roman" w:cs="Times New Roman"/>
          <w:color w:val="515151"/>
        </w:rPr>
        <w:t>es</w:t>
      </w:r>
      <w:r w:rsidR="00430C25" w:rsidRPr="006E4406">
        <w:rPr>
          <w:rFonts w:ascii="Times New Roman" w:eastAsia="Times New Roman" w:hAnsi="Times New Roman" w:cs="Times New Roman"/>
          <w:color w:val="515151"/>
        </w:rPr>
        <w:t xml:space="preserve"> a Medicaid Oversight Committe</w:t>
      </w:r>
      <w:r w:rsidR="00AD7826">
        <w:rPr>
          <w:rFonts w:ascii="Times New Roman" w:eastAsia="Times New Roman" w:hAnsi="Times New Roman" w:cs="Times New Roman"/>
          <w:color w:val="515151"/>
        </w:rPr>
        <w:t>e</w:t>
      </w:r>
      <w:r w:rsidR="00430C25" w:rsidRPr="006E4406">
        <w:rPr>
          <w:rFonts w:ascii="Times New Roman" w:eastAsia="Times New Roman" w:hAnsi="Times New Roman" w:cs="Times New Roman"/>
          <w:color w:val="515151"/>
        </w:rPr>
        <w:t xml:space="preserve">, which consists of House and Senate fiscal/public health leadership, the OMB director, and the FSSA secretary. </w:t>
      </w:r>
    </w:p>
    <w:p w14:paraId="6C348E79" w14:textId="68F52E42" w:rsidR="00430C25" w:rsidRPr="006E4406" w:rsidRDefault="00AD7826" w:rsidP="00430C25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515151"/>
        </w:rPr>
      </w:pPr>
      <w:r>
        <w:rPr>
          <w:rFonts w:ascii="Times New Roman" w:eastAsia="Times New Roman" w:hAnsi="Times New Roman" w:cs="Times New Roman"/>
          <w:color w:val="515151"/>
        </w:rPr>
        <w:t>A</w:t>
      </w:r>
      <w:r w:rsidR="00430C25" w:rsidRPr="006E4406">
        <w:rPr>
          <w:rFonts w:ascii="Times New Roman" w:eastAsia="Times New Roman" w:hAnsi="Times New Roman" w:cs="Times New Roman"/>
          <w:color w:val="515151"/>
        </w:rPr>
        <w:t>ppropriate</w:t>
      </w:r>
      <w:r>
        <w:rPr>
          <w:rFonts w:ascii="Times New Roman" w:eastAsia="Times New Roman" w:hAnsi="Times New Roman" w:cs="Times New Roman"/>
          <w:color w:val="515151"/>
        </w:rPr>
        <w:t>s</w:t>
      </w:r>
      <w:r w:rsidR="00430C25" w:rsidRPr="006E4406">
        <w:rPr>
          <w:rFonts w:ascii="Times New Roman" w:eastAsia="Times New Roman" w:hAnsi="Times New Roman" w:cs="Times New Roman"/>
          <w:color w:val="515151"/>
        </w:rPr>
        <w:t xml:space="preserve"> $75M in FY 24 and $150M in FY 25 to support a public/private “partnership between the state, local government, and health care providers” to improve local public health services. </w:t>
      </w:r>
      <w:r w:rsidR="00A26279" w:rsidRPr="006E4406">
        <w:rPr>
          <w:rFonts w:ascii="Times New Roman" w:eastAsia="Times New Roman" w:hAnsi="Times New Roman" w:cs="Times New Roman"/>
          <w:color w:val="515151"/>
        </w:rPr>
        <w:t xml:space="preserve">The </w:t>
      </w:r>
      <w:r w:rsidR="00430C25" w:rsidRPr="006E4406">
        <w:rPr>
          <w:rFonts w:ascii="Times New Roman" w:eastAsia="Times New Roman" w:hAnsi="Times New Roman" w:cs="Times New Roman"/>
          <w:color w:val="515151"/>
        </w:rPr>
        <w:t>Governor’s Public Health Commission initially called for $250M.</w:t>
      </w:r>
    </w:p>
    <w:p w14:paraId="482BD2C8" w14:textId="3E06CF4F" w:rsidR="00430C25" w:rsidRPr="006E4406" w:rsidRDefault="00430C25" w:rsidP="00A26279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515151"/>
        </w:rPr>
      </w:pPr>
      <w:r w:rsidRPr="006E4406">
        <w:rPr>
          <w:rFonts w:ascii="Times New Roman" w:eastAsia="Times New Roman" w:hAnsi="Times New Roman" w:cs="Times New Roman"/>
          <w:color w:val="515151"/>
        </w:rPr>
        <w:t>Appropriate</w:t>
      </w:r>
      <w:r w:rsidR="006E4406">
        <w:rPr>
          <w:rFonts w:ascii="Times New Roman" w:eastAsia="Times New Roman" w:hAnsi="Times New Roman" w:cs="Times New Roman"/>
          <w:color w:val="515151"/>
        </w:rPr>
        <w:t>s</w:t>
      </w:r>
      <w:r w:rsidRPr="006E4406">
        <w:rPr>
          <w:rFonts w:ascii="Times New Roman" w:eastAsia="Times New Roman" w:hAnsi="Times New Roman" w:cs="Times New Roman"/>
          <w:color w:val="515151"/>
        </w:rPr>
        <w:t xml:space="preserve"> $50M/year for Community Mental Health (SEA 1)</w:t>
      </w:r>
    </w:p>
    <w:p w14:paraId="050A3FCF" w14:textId="77777777" w:rsidR="00430C25" w:rsidRPr="006E4406" w:rsidRDefault="00430C25" w:rsidP="00430C25">
      <w:pPr>
        <w:rPr>
          <w:rFonts w:ascii="Times New Roman" w:hAnsi="Times New Roman" w:cs="Times New Roman"/>
          <w:color w:val="515151"/>
        </w:rPr>
      </w:pPr>
    </w:p>
    <w:p w14:paraId="753E8B90" w14:textId="6A8C174F" w:rsidR="00430C25" w:rsidRPr="006E4406" w:rsidRDefault="00430C25" w:rsidP="00430C25">
      <w:pPr>
        <w:rPr>
          <w:rFonts w:ascii="Times New Roman" w:hAnsi="Times New Roman" w:cs="Times New Roman"/>
          <w:color w:val="515151"/>
        </w:rPr>
      </w:pPr>
      <w:r w:rsidRPr="006E4406">
        <w:rPr>
          <w:rFonts w:ascii="Times New Roman" w:hAnsi="Times New Roman" w:cs="Times New Roman"/>
          <w:color w:val="515151"/>
        </w:rPr>
        <w:t xml:space="preserve">A more detailed presentation of the budget can be found </w:t>
      </w:r>
      <w:hyperlink r:id="rId13" w:history="1">
        <w:r w:rsidR="00530373" w:rsidRPr="006E4406">
          <w:rPr>
            <w:rStyle w:val="Hyperlink"/>
            <w:rFonts w:ascii="Times New Roman" w:hAnsi="Times New Roman" w:cs="Times New Roman"/>
          </w:rPr>
          <w:t>here</w:t>
        </w:r>
      </w:hyperlink>
      <w:r w:rsidR="00530373" w:rsidRPr="006E4406">
        <w:rPr>
          <w:rFonts w:ascii="Times New Roman" w:hAnsi="Times New Roman" w:cs="Times New Roman"/>
          <w:color w:val="515151"/>
        </w:rPr>
        <w:t>.</w:t>
      </w:r>
    </w:p>
    <w:p w14:paraId="0065B014" w14:textId="77777777" w:rsidR="00530373" w:rsidRPr="006E4406" w:rsidRDefault="00777C7F" w:rsidP="00530373">
      <w:pPr>
        <w:pStyle w:val="bill-item"/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hyperlink r:id="rId14" w:history="1">
        <w:r w:rsidR="00530373" w:rsidRPr="006E4406">
          <w:rPr>
            <w:rStyle w:val="Strong"/>
            <w:rFonts w:ascii="Times New Roman" w:hAnsi="Times New Roman" w:cs="Times New Roman"/>
            <w:color w:val="005580"/>
            <w:sz w:val="28"/>
            <w:szCs w:val="28"/>
          </w:rPr>
          <w:t>HB 1352</w:t>
        </w:r>
        <w:r w:rsidR="00530373" w:rsidRPr="006E4406">
          <w:rPr>
            <w:rStyle w:val="Hyperlink"/>
            <w:rFonts w:ascii="Times New Roman" w:hAnsi="Times New Roman" w:cs="Times New Roman"/>
            <w:color w:val="005580"/>
            <w:sz w:val="28"/>
            <w:szCs w:val="28"/>
            <w:u w:val="none"/>
          </w:rPr>
          <w:t xml:space="preserve">: </w:t>
        </w:r>
        <w:r w:rsidR="00530373" w:rsidRPr="006E4406">
          <w:rPr>
            <w:rStyle w:val="Hyperlink"/>
            <w:rFonts w:ascii="Times New Roman" w:hAnsi="Times New Roman" w:cs="Times New Roman"/>
            <w:b/>
            <w:bCs/>
            <w:color w:val="005580"/>
            <w:sz w:val="28"/>
            <w:szCs w:val="28"/>
            <w:u w:val="none"/>
          </w:rPr>
          <w:t>Telehealth services.</w:t>
        </w:r>
      </w:hyperlink>
    </w:p>
    <w:p w14:paraId="42EBA960" w14:textId="41498A27" w:rsidR="00430C25" w:rsidRPr="006E4406" w:rsidRDefault="00430C25" w:rsidP="00AB75F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E4406">
        <w:rPr>
          <w:rFonts w:ascii="Times New Roman" w:hAnsi="Times New Roman" w:cs="Times New Roman"/>
        </w:rPr>
        <w:t xml:space="preserve">Provides (beginning January 1, 2024) that </w:t>
      </w:r>
      <w:proofErr w:type="spellStart"/>
      <w:r w:rsidR="00A26279" w:rsidRPr="006E4406">
        <w:rPr>
          <w:rFonts w:ascii="Times New Roman" w:hAnsi="Times New Roman" w:cs="Times New Roman"/>
        </w:rPr>
        <w:t>OMPP</w:t>
      </w:r>
      <w:proofErr w:type="spellEnd"/>
      <w:r w:rsidR="00A26279" w:rsidRPr="006E4406">
        <w:rPr>
          <w:rFonts w:ascii="Times New Roman" w:hAnsi="Times New Roman" w:cs="Times New Roman"/>
        </w:rPr>
        <w:t xml:space="preserve"> </w:t>
      </w:r>
      <w:r w:rsidRPr="006E4406">
        <w:rPr>
          <w:rFonts w:ascii="Times New Roman" w:hAnsi="Times New Roman" w:cs="Times New Roman"/>
        </w:rPr>
        <w:t xml:space="preserve">may not require: (1) a provider that is licensed, certified, registered, or authorized with the appropriate state agency or board and exclusively offers telehealth services to maintain a physical address or site in Indiana </w:t>
      </w:r>
      <w:r w:rsidRPr="006E4406">
        <w:rPr>
          <w:rFonts w:ascii="Times New Roman" w:hAnsi="Times New Roman" w:cs="Times New Roman"/>
        </w:rPr>
        <w:lastRenderedPageBreak/>
        <w:t xml:space="preserve">to be eligible for enrollment as a Medicaid provider; or (2) a telehealth provider group with providers that are licensed, certified, registered, or authorized with the appropriate state agency or board to have an in-state service address to be eligible to enroll as a Medicaid vendor or Medicaid provider group. </w:t>
      </w:r>
    </w:p>
    <w:p w14:paraId="518B0FDC" w14:textId="77777777" w:rsidR="00A26279" w:rsidRPr="006E4406" w:rsidRDefault="00777C7F" w:rsidP="00A26279">
      <w:pPr>
        <w:pStyle w:val="bill-item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hyperlink r:id="rId15" w:history="1">
        <w:r w:rsidR="00A26279" w:rsidRPr="006E4406">
          <w:rPr>
            <w:rStyle w:val="Strong"/>
            <w:rFonts w:ascii="Times New Roman" w:hAnsi="Times New Roman" w:cs="Times New Roman"/>
            <w:color w:val="005580"/>
            <w:sz w:val="28"/>
            <w:szCs w:val="28"/>
          </w:rPr>
          <w:t>HB 1422</w:t>
        </w:r>
        <w:r w:rsidR="00A26279" w:rsidRPr="006E4406">
          <w:rPr>
            <w:rStyle w:val="Hyperlink"/>
            <w:rFonts w:ascii="Times New Roman" w:hAnsi="Times New Roman" w:cs="Times New Roman"/>
            <w:b/>
            <w:bCs/>
            <w:color w:val="005580"/>
            <w:sz w:val="28"/>
            <w:szCs w:val="28"/>
            <w:u w:val="none"/>
          </w:rPr>
          <w:t>: Dementia care.</w:t>
        </w:r>
      </w:hyperlink>
    </w:p>
    <w:p w14:paraId="5B8E68DD" w14:textId="0F26DD85" w:rsidR="00A26279" w:rsidRPr="006E4406" w:rsidRDefault="00430C25" w:rsidP="00A2627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E4406">
        <w:rPr>
          <w:rFonts w:ascii="Times New Roman" w:hAnsi="Times New Roman" w:cs="Times New Roman"/>
        </w:rPr>
        <w:t xml:space="preserve">Provides that an area agency on aging </w:t>
      </w:r>
      <w:r w:rsidR="006E4406" w:rsidRPr="006E4406">
        <w:rPr>
          <w:rFonts w:ascii="Times New Roman" w:hAnsi="Times New Roman" w:cs="Times New Roman"/>
        </w:rPr>
        <w:t xml:space="preserve">(AAA) </w:t>
      </w:r>
      <w:r w:rsidRPr="006E4406">
        <w:rPr>
          <w:rFonts w:ascii="Times New Roman" w:hAnsi="Times New Roman" w:cs="Times New Roman"/>
        </w:rPr>
        <w:t xml:space="preserve">designated may establish a dementia care specialist program. </w:t>
      </w:r>
    </w:p>
    <w:p w14:paraId="6AADE2FC" w14:textId="77777777" w:rsidR="00A26279" w:rsidRPr="006E4406" w:rsidRDefault="00430C25" w:rsidP="00A2627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E4406">
        <w:rPr>
          <w:rFonts w:ascii="Times New Roman" w:hAnsi="Times New Roman" w:cs="Times New Roman"/>
        </w:rPr>
        <w:t xml:space="preserve">Allows an area agency to designate at least one individual as a dementia care specialist to administer the program. </w:t>
      </w:r>
    </w:p>
    <w:p w14:paraId="25EB8CD9" w14:textId="77777777" w:rsidR="006E4406" w:rsidRPr="006E4406" w:rsidRDefault="00430C25" w:rsidP="00F932C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E4406">
        <w:rPr>
          <w:rFonts w:ascii="Times New Roman" w:hAnsi="Times New Roman" w:cs="Times New Roman"/>
        </w:rPr>
        <w:t xml:space="preserve">Provides that </w:t>
      </w:r>
      <w:proofErr w:type="spellStart"/>
      <w:r w:rsidR="006E4406" w:rsidRPr="006E4406">
        <w:rPr>
          <w:rFonts w:ascii="Times New Roman" w:hAnsi="Times New Roman" w:cs="Times New Roman"/>
        </w:rPr>
        <w:t>FSSA’s</w:t>
      </w:r>
      <w:proofErr w:type="spellEnd"/>
      <w:r w:rsidR="006E4406" w:rsidRPr="006E4406">
        <w:rPr>
          <w:rFonts w:ascii="Times New Roman" w:hAnsi="Times New Roman" w:cs="Times New Roman"/>
        </w:rPr>
        <w:t xml:space="preserve"> D</w:t>
      </w:r>
      <w:r w:rsidRPr="006E4406">
        <w:rPr>
          <w:rFonts w:ascii="Times New Roman" w:hAnsi="Times New Roman" w:cs="Times New Roman"/>
        </w:rPr>
        <w:t xml:space="preserve">ivision of </w:t>
      </w:r>
      <w:r w:rsidR="006E4406" w:rsidRPr="006E4406">
        <w:rPr>
          <w:rFonts w:ascii="Times New Roman" w:hAnsi="Times New Roman" w:cs="Times New Roman"/>
        </w:rPr>
        <w:t>A</w:t>
      </w:r>
      <w:r w:rsidRPr="006E4406">
        <w:rPr>
          <w:rFonts w:ascii="Times New Roman" w:hAnsi="Times New Roman" w:cs="Times New Roman"/>
        </w:rPr>
        <w:t xml:space="preserve">ging may employ a dementia care specialist coordinator. </w:t>
      </w:r>
    </w:p>
    <w:p w14:paraId="5D5FA8C0" w14:textId="7B5FD140" w:rsidR="00430C25" w:rsidRPr="006E4406" w:rsidRDefault="00430C25" w:rsidP="00F932C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E4406">
        <w:rPr>
          <w:rFonts w:ascii="Times New Roman" w:hAnsi="Times New Roman" w:cs="Times New Roman"/>
        </w:rPr>
        <w:t xml:space="preserve">Sets forth the duties of: (1) a dementia care specialist; and (2) the dementia care specialist coordinator; if an area agency or the division establishes those positions. </w:t>
      </w:r>
    </w:p>
    <w:p w14:paraId="5A20FE40" w14:textId="77777777" w:rsidR="00A26279" w:rsidRPr="006E4406" w:rsidRDefault="00A26279" w:rsidP="00A26279">
      <w:pPr>
        <w:pStyle w:val="ListParagraph"/>
        <w:rPr>
          <w:rFonts w:ascii="Times New Roman" w:hAnsi="Times New Roman" w:cs="Times New Roman"/>
        </w:rPr>
      </w:pPr>
    </w:p>
    <w:p w14:paraId="39D9C303" w14:textId="11FC1739" w:rsidR="00430C25" w:rsidRPr="00853D03" w:rsidRDefault="00777C7F" w:rsidP="00430C25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6" w:history="1">
        <w:r w:rsidR="00430C25" w:rsidRPr="00853D03">
          <w:rPr>
            <w:rStyle w:val="Hyperlink"/>
            <w:rFonts w:ascii="Times New Roman" w:eastAsia="Times New Roman" w:hAnsi="Times New Roman" w:cs="Times New Roman"/>
            <w:b/>
            <w:bCs/>
            <w:color w:val="005580"/>
            <w:sz w:val="28"/>
            <w:szCs w:val="28"/>
            <w:u w:val="none"/>
            <w:shd w:val="clear" w:color="auto" w:fill="FFFFFF"/>
          </w:rPr>
          <w:t>HB 1454: Department of local government finance</w:t>
        </w:r>
      </w:hyperlink>
      <w:r w:rsidR="00853D0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30C25" w:rsidRPr="00853D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</w:p>
    <w:p w14:paraId="7D58B835" w14:textId="4497AF55" w:rsidR="00853D03" w:rsidRPr="00853D03" w:rsidRDefault="00853D03" w:rsidP="00853D03">
      <w:pPr>
        <w:rPr>
          <w:rFonts w:ascii="Times New Roman" w:hAnsi="Times New Roman" w:cs="Times New Roman"/>
        </w:rPr>
      </w:pPr>
    </w:p>
    <w:p w14:paraId="0BDA8281" w14:textId="24C4696D" w:rsidR="00853D03" w:rsidRPr="0074225A" w:rsidRDefault="008A6453" w:rsidP="00853D0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74225A">
        <w:rPr>
          <w:rFonts w:ascii="Times New Roman" w:hAnsi="Times New Roman" w:cs="Times New Roman"/>
        </w:rPr>
        <w:t xml:space="preserve">While not the main </w:t>
      </w:r>
      <w:r w:rsidR="00853D03" w:rsidRPr="0074225A">
        <w:rPr>
          <w:rFonts w:ascii="Times New Roman" w:hAnsi="Times New Roman" w:cs="Times New Roman"/>
        </w:rPr>
        <w:t xml:space="preserve">thrust </w:t>
      </w:r>
      <w:r w:rsidRPr="0074225A">
        <w:rPr>
          <w:rFonts w:ascii="Times New Roman" w:hAnsi="Times New Roman" w:cs="Times New Roman"/>
        </w:rPr>
        <w:t xml:space="preserve">of this Bill, the final text included critical </w:t>
      </w:r>
      <w:r w:rsidR="006E4406" w:rsidRPr="0074225A">
        <w:rPr>
          <w:rFonts w:ascii="Times New Roman" w:hAnsi="Times New Roman" w:cs="Times New Roman"/>
        </w:rPr>
        <w:t xml:space="preserve">language </w:t>
      </w:r>
      <w:r w:rsidRPr="0074225A">
        <w:rPr>
          <w:rFonts w:ascii="Times New Roman" w:hAnsi="Times New Roman" w:cs="Times New Roman"/>
        </w:rPr>
        <w:t>pursued by LAIN all Session (and for months before as well) that secures</w:t>
      </w:r>
      <w:r w:rsidR="00853D03" w:rsidRPr="0074225A">
        <w:rPr>
          <w:rFonts w:ascii="Times New Roman" w:hAnsi="Times New Roman" w:cs="Times New Roman"/>
        </w:rPr>
        <w:t xml:space="preserve"> </w:t>
      </w:r>
      <w:r w:rsidRPr="0074225A">
        <w:rPr>
          <w:rFonts w:ascii="Times New Roman" w:hAnsi="Times New Roman" w:cs="Times New Roman"/>
        </w:rPr>
        <w:t xml:space="preserve">property </w:t>
      </w:r>
      <w:r w:rsidR="006E4406" w:rsidRPr="0074225A">
        <w:rPr>
          <w:rFonts w:ascii="Times New Roman" w:hAnsi="Times New Roman" w:cs="Times New Roman"/>
        </w:rPr>
        <w:t xml:space="preserve">tax exempt status </w:t>
      </w:r>
      <w:r w:rsidR="00853D03" w:rsidRPr="0074225A">
        <w:rPr>
          <w:rFonts w:ascii="Times New Roman" w:hAnsi="Times New Roman" w:cs="Times New Roman"/>
        </w:rPr>
        <w:t xml:space="preserve">for </w:t>
      </w:r>
      <w:r w:rsidR="006E4406" w:rsidRPr="0074225A">
        <w:rPr>
          <w:rFonts w:ascii="Times New Roman" w:hAnsi="Times New Roman" w:cs="Times New Roman"/>
        </w:rPr>
        <w:t>no</w:t>
      </w:r>
      <w:r w:rsidR="00853D03" w:rsidRPr="0074225A">
        <w:rPr>
          <w:rFonts w:ascii="Times New Roman" w:hAnsi="Times New Roman" w:cs="Times New Roman"/>
        </w:rPr>
        <w:t>t-for-</w:t>
      </w:r>
      <w:r w:rsidR="006E4406" w:rsidRPr="0074225A">
        <w:rPr>
          <w:rFonts w:ascii="Times New Roman" w:hAnsi="Times New Roman" w:cs="Times New Roman"/>
        </w:rPr>
        <w:t xml:space="preserve">profit </w:t>
      </w:r>
      <w:r w:rsidR="00853D03" w:rsidRPr="0074225A">
        <w:rPr>
          <w:rFonts w:ascii="Times New Roman" w:hAnsi="Times New Roman" w:cs="Times New Roman"/>
        </w:rPr>
        <w:t>(</w:t>
      </w:r>
      <w:proofErr w:type="spellStart"/>
      <w:r w:rsidR="00853D03" w:rsidRPr="0074225A">
        <w:rPr>
          <w:rFonts w:ascii="Times New Roman" w:hAnsi="Times New Roman" w:cs="Times New Roman"/>
        </w:rPr>
        <w:t>NFP</w:t>
      </w:r>
      <w:proofErr w:type="spellEnd"/>
      <w:r w:rsidR="00853D03" w:rsidRPr="0074225A">
        <w:rPr>
          <w:rFonts w:ascii="Times New Roman" w:hAnsi="Times New Roman" w:cs="Times New Roman"/>
        </w:rPr>
        <w:t xml:space="preserve">) </w:t>
      </w:r>
      <w:r w:rsidR="006E4406" w:rsidRPr="0074225A">
        <w:rPr>
          <w:rFonts w:ascii="Times New Roman" w:hAnsi="Times New Roman" w:cs="Times New Roman"/>
        </w:rPr>
        <w:t>nursing homes, assisted living communities and other health facilities in tax</w:t>
      </w:r>
      <w:r w:rsidRPr="0074225A">
        <w:rPr>
          <w:rFonts w:ascii="Times New Roman" w:hAnsi="Times New Roman" w:cs="Times New Roman"/>
        </w:rPr>
        <w:t>able</w:t>
      </w:r>
      <w:r w:rsidR="006E4406" w:rsidRPr="0074225A">
        <w:rPr>
          <w:rFonts w:ascii="Times New Roman" w:hAnsi="Times New Roman" w:cs="Times New Roman"/>
        </w:rPr>
        <w:t xml:space="preserve"> years 2022, 2023, 2024, and 2025. </w:t>
      </w:r>
      <w:r w:rsidR="0074225A" w:rsidRPr="0074225A">
        <w:rPr>
          <w:rFonts w:ascii="Times New Roman" w:hAnsi="Times New Roman" w:cs="Times New Roman"/>
        </w:rPr>
        <w:t>[</w:t>
      </w:r>
      <w:r w:rsidR="00AD7826">
        <w:rPr>
          <w:rFonts w:ascii="Times New Roman" w:hAnsi="Times New Roman" w:cs="Times New Roman"/>
        </w:rPr>
        <w:t>S</w:t>
      </w:r>
      <w:r w:rsidR="0074225A" w:rsidRPr="0074225A">
        <w:rPr>
          <w:rFonts w:ascii="Times New Roman" w:hAnsi="Times New Roman" w:cs="Times New Roman"/>
        </w:rPr>
        <w:t xml:space="preserve">ee the </w:t>
      </w:r>
      <w:r w:rsidR="0074225A">
        <w:rPr>
          <w:rFonts w:ascii="Times New Roman" w:hAnsi="Times New Roman" w:cs="Times New Roman"/>
        </w:rPr>
        <w:t xml:space="preserve">actual Bill </w:t>
      </w:r>
      <w:r w:rsidR="00AD7826">
        <w:rPr>
          <w:rFonts w:ascii="Times New Roman" w:hAnsi="Times New Roman" w:cs="Times New Roman"/>
        </w:rPr>
        <w:t>C</w:t>
      </w:r>
      <w:r w:rsidR="00AD7826" w:rsidRPr="0074225A">
        <w:rPr>
          <w:rFonts w:ascii="Times New Roman" w:hAnsi="Times New Roman" w:cs="Times New Roman"/>
        </w:rPr>
        <w:t>onference</w:t>
      </w:r>
      <w:r w:rsidR="0074225A" w:rsidRPr="0074225A">
        <w:rPr>
          <w:rFonts w:ascii="Times New Roman" w:hAnsi="Times New Roman" w:cs="Times New Roman"/>
        </w:rPr>
        <w:t xml:space="preserve"> Committee report (starting on p. 278)].  </w:t>
      </w:r>
      <w:r w:rsidRPr="0074225A">
        <w:rPr>
          <w:rFonts w:ascii="Times New Roman" w:hAnsi="Times New Roman" w:cs="Times New Roman"/>
        </w:rPr>
        <w:t xml:space="preserve">It also </w:t>
      </w:r>
      <w:r w:rsidR="00FD5264">
        <w:rPr>
          <w:rFonts w:ascii="Times New Roman" w:hAnsi="Times New Roman" w:cs="Times New Roman"/>
        </w:rPr>
        <w:t>has some r</w:t>
      </w:r>
      <w:r w:rsidR="0074225A">
        <w:rPr>
          <w:rFonts w:ascii="Times New Roman" w:hAnsi="Times New Roman" w:cs="Times New Roman"/>
        </w:rPr>
        <w:t xml:space="preserve">etroactive </w:t>
      </w:r>
      <w:r w:rsidR="00FD5264">
        <w:rPr>
          <w:rFonts w:ascii="Times New Roman" w:hAnsi="Times New Roman" w:cs="Times New Roman"/>
        </w:rPr>
        <w:t xml:space="preserve">applicability </w:t>
      </w:r>
      <w:r w:rsidRPr="0074225A">
        <w:rPr>
          <w:rFonts w:ascii="Times New Roman" w:hAnsi="Times New Roman" w:cs="Times New Roman"/>
        </w:rPr>
        <w:t xml:space="preserve">for </w:t>
      </w:r>
      <w:r w:rsidR="00FD5264">
        <w:rPr>
          <w:rFonts w:ascii="Times New Roman" w:hAnsi="Times New Roman" w:cs="Times New Roman"/>
        </w:rPr>
        <w:t xml:space="preserve">some properties </w:t>
      </w:r>
      <w:r w:rsidRPr="0074225A">
        <w:rPr>
          <w:rFonts w:ascii="Times New Roman" w:hAnsi="Times New Roman" w:cs="Times New Roman"/>
        </w:rPr>
        <w:t>that were exempt in tax year</w:t>
      </w:r>
      <w:r w:rsidR="00853D03" w:rsidRPr="0074225A">
        <w:rPr>
          <w:rFonts w:ascii="Times New Roman" w:hAnsi="Times New Roman" w:cs="Times New Roman"/>
        </w:rPr>
        <w:t>s</w:t>
      </w:r>
      <w:r w:rsidRPr="0074225A">
        <w:rPr>
          <w:rFonts w:ascii="Times New Roman" w:hAnsi="Times New Roman" w:cs="Times New Roman"/>
        </w:rPr>
        <w:t xml:space="preserve"> 2019-2021.  Additional detailed analysis </w:t>
      </w:r>
      <w:r w:rsidR="00FD5264">
        <w:rPr>
          <w:rFonts w:ascii="Times New Roman" w:hAnsi="Times New Roman" w:cs="Times New Roman"/>
        </w:rPr>
        <w:t xml:space="preserve">can be found </w:t>
      </w:r>
      <w:hyperlink r:id="rId17" w:history="1">
        <w:r w:rsidR="00FD5264" w:rsidRPr="00FD5264">
          <w:rPr>
            <w:rStyle w:val="Hyperlink"/>
            <w:rFonts w:ascii="Times New Roman" w:hAnsi="Times New Roman" w:cs="Times New Roman"/>
          </w:rPr>
          <w:t>he</w:t>
        </w:r>
        <w:r w:rsidR="00FD5264" w:rsidRPr="00FD5264">
          <w:rPr>
            <w:rStyle w:val="Hyperlink"/>
            <w:rFonts w:ascii="Times New Roman" w:hAnsi="Times New Roman" w:cs="Times New Roman"/>
          </w:rPr>
          <w:t>r</w:t>
        </w:r>
        <w:r w:rsidR="00FD5264" w:rsidRPr="00FD5264">
          <w:rPr>
            <w:rStyle w:val="Hyperlink"/>
            <w:rFonts w:ascii="Times New Roman" w:hAnsi="Times New Roman" w:cs="Times New Roman"/>
          </w:rPr>
          <w:t>e.</w:t>
        </w:r>
      </w:hyperlink>
      <w:r w:rsidR="00FD5264">
        <w:rPr>
          <w:rFonts w:ascii="Times New Roman" w:hAnsi="Times New Roman" w:cs="Times New Roman"/>
        </w:rPr>
        <w:t xml:space="preserve">  </w:t>
      </w:r>
      <w:r w:rsidRPr="0074225A">
        <w:rPr>
          <w:rFonts w:ascii="Times New Roman" w:hAnsi="Times New Roman" w:cs="Times New Roman"/>
        </w:rPr>
        <w:t xml:space="preserve">  </w:t>
      </w:r>
    </w:p>
    <w:p w14:paraId="4A00C432" w14:textId="7F19E75D" w:rsidR="008A6453" w:rsidRPr="0074225A" w:rsidRDefault="008A6453" w:rsidP="006E440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74225A">
        <w:rPr>
          <w:rFonts w:ascii="Times New Roman" w:hAnsi="Times New Roman" w:cs="Times New Roman"/>
        </w:rPr>
        <w:t xml:space="preserve">This is not a permanent </w:t>
      </w:r>
      <w:r w:rsidR="00853D03" w:rsidRPr="0074225A">
        <w:rPr>
          <w:rFonts w:ascii="Times New Roman" w:hAnsi="Times New Roman" w:cs="Times New Roman"/>
        </w:rPr>
        <w:t>fix,</w:t>
      </w:r>
      <w:r w:rsidRPr="0074225A">
        <w:rPr>
          <w:rFonts w:ascii="Times New Roman" w:hAnsi="Times New Roman" w:cs="Times New Roman"/>
        </w:rPr>
        <w:t xml:space="preserve"> but it does provide some </w:t>
      </w:r>
      <w:r w:rsidR="00853D03" w:rsidRPr="0074225A">
        <w:rPr>
          <w:rFonts w:ascii="Times New Roman" w:hAnsi="Times New Roman" w:cs="Times New Roman"/>
        </w:rPr>
        <w:t xml:space="preserve">certainty </w:t>
      </w:r>
      <w:r w:rsidRPr="0074225A">
        <w:rPr>
          <w:rFonts w:ascii="Times New Roman" w:hAnsi="Times New Roman" w:cs="Times New Roman"/>
        </w:rPr>
        <w:t xml:space="preserve">for now and allows us the opportunity to continue educating legislators on this important issue.  </w:t>
      </w:r>
    </w:p>
    <w:p w14:paraId="270D5CFF" w14:textId="697D6747" w:rsidR="006E4406" w:rsidRPr="0074225A" w:rsidRDefault="008A6453" w:rsidP="009F77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74225A">
        <w:rPr>
          <w:rFonts w:ascii="Times New Roman" w:hAnsi="Times New Roman" w:cs="Times New Roman"/>
        </w:rPr>
        <w:t xml:space="preserve">For background, most (if not all) </w:t>
      </w:r>
      <w:proofErr w:type="spellStart"/>
      <w:r w:rsidRPr="0074225A">
        <w:rPr>
          <w:rFonts w:ascii="Times New Roman" w:hAnsi="Times New Roman" w:cs="Times New Roman"/>
        </w:rPr>
        <w:t>NFP</w:t>
      </w:r>
      <w:proofErr w:type="spellEnd"/>
      <w:r w:rsidRPr="0074225A">
        <w:rPr>
          <w:rFonts w:ascii="Times New Roman" w:hAnsi="Times New Roman" w:cs="Times New Roman"/>
        </w:rPr>
        <w:t xml:space="preserve"> senior living providers have had exempt status for decades.  However, every so often, a county assessor challenges the precision of </w:t>
      </w:r>
      <w:r w:rsidR="00853D03" w:rsidRPr="0074225A">
        <w:rPr>
          <w:rFonts w:ascii="Times New Roman" w:hAnsi="Times New Roman" w:cs="Times New Roman"/>
        </w:rPr>
        <w:t xml:space="preserve">the </w:t>
      </w:r>
      <w:r w:rsidRPr="0074225A">
        <w:rPr>
          <w:rFonts w:ascii="Times New Roman" w:hAnsi="Times New Roman" w:cs="Times New Roman"/>
        </w:rPr>
        <w:t xml:space="preserve">controlling statutes.  This effort aimed to clarify once and for all the will of the </w:t>
      </w:r>
      <w:r w:rsidR="00853D03" w:rsidRPr="0074225A">
        <w:rPr>
          <w:rFonts w:ascii="Times New Roman" w:hAnsi="Times New Roman" w:cs="Times New Roman"/>
        </w:rPr>
        <w:t>legislature</w:t>
      </w:r>
      <w:r w:rsidRPr="0074225A">
        <w:rPr>
          <w:rFonts w:ascii="Times New Roman" w:hAnsi="Times New Roman" w:cs="Times New Roman"/>
        </w:rPr>
        <w:t xml:space="preserve">.  </w:t>
      </w:r>
      <w:r w:rsidR="00853D03" w:rsidRPr="0074225A">
        <w:rPr>
          <w:rFonts w:ascii="Times New Roman" w:hAnsi="Times New Roman" w:cs="Times New Roman"/>
        </w:rPr>
        <w:t xml:space="preserve">We still have some work to do, but this was a great start in that direction.  </w:t>
      </w:r>
    </w:p>
    <w:bookmarkStart w:id="0" w:name="_Hlk137716450"/>
    <w:p w14:paraId="2D6697AF" w14:textId="77777777" w:rsidR="00FD0BA0" w:rsidRPr="00FD0BA0" w:rsidRDefault="00777C7F" w:rsidP="00FD0BA0">
      <w:pPr>
        <w:pStyle w:val="bill-item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fldChar w:fldCharType="begin"/>
      </w:r>
      <w:r>
        <w:instrText xml:space="preserve"> HYPERLINK "https://iga.in.gov/legislative/2023/bills/house/1457" </w:instrText>
      </w:r>
      <w:r>
        <w:fldChar w:fldCharType="separate"/>
      </w:r>
      <w:r w:rsidR="00FD0BA0" w:rsidRPr="00FD0BA0">
        <w:rPr>
          <w:rStyle w:val="Strong"/>
          <w:rFonts w:ascii="Times New Roman" w:hAnsi="Times New Roman" w:cs="Times New Roman"/>
          <w:color w:val="005580"/>
          <w:sz w:val="28"/>
          <w:szCs w:val="28"/>
        </w:rPr>
        <w:t>HB 1457</w:t>
      </w:r>
      <w:r w:rsidR="00FD0BA0" w:rsidRPr="00FD0BA0">
        <w:rPr>
          <w:rStyle w:val="Hyperlink"/>
          <w:rFonts w:ascii="Times New Roman" w:hAnsi="Times New Roman" w:cs="Times New Roman"/>
          <w:b/>
          <w:bCs/>
          <w:color w:val="005580"/>
          <w:sz w:val="28"/>
          <w:szCs w:val="28"/>
          <w:u w:val="none"/>
        </w:rPr>
        <w:t>: Public health matters.</w:t>
      </w:r>
      <w:r>
        <w:rPr>
          <w:rStyle w:val="Hyperlink"/>
          <w:rFonts w:ascii="Times New Roman" w:hAnsi="Times New Roman" w:cs="Times New Roman"/>
          <w:b/>
          <w:bCs/>
          <w:color w:val="005580"/>
          <w:sz w:val="28"/>
          <w:szCs w:val="28"/>
          <w:u w:val="none"/>
        </w:rPr>
        <w:fldChar w:fldCharType="end"/>
      </w:r>
    </w:p>
    <w:p w14:paraId="09297C6A" w14:textId="77777777" w:rsidR="00015934" w:rsidRPr="00015934" w:rsidRDefault="00015934" w:rsidP="00FD0BA0">
      <w:pPr>
        <w:pStyle w:val="bill-item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015934">
        <w:rPr>
          <w:rFonts w:ascii="Times New Roman" w:hAnsi="Times New Roman" w:cs="Times New Roman"/>
          <w:sz w:val="24"/>
          <w:szCs w:val="24"/>
        </w:rPr>
        <w:t xml:space="preserve">Establishes standards for unlicensed assisted living (AL) facilities providing dementia care/memory care services.  </w:t>
      </w:r>
    </w:p>
    <w:p w14:paraId="4DBB8A98" w14:textId="760F8238" w:rsidR="005A2A3F" w:rsidRPr="00015934" w:rsidRDefault="00015934" w:rsidP="00015934">
      <w:pPr>
        <w:pStyle w:val="bill-item"/>
        <w:numPr>
          <w:ilvl w:val="1"/>
          <w:numId w:val="28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A86495">
        <w:rPr>
          <w:rFonts w:ascii="Times New Roman" w:hAnsi="Times New Roman" w:cs="Times New Roman"/>
          <w:sz w:val="24"/>
          <w:szCs w:val="24"/>
          <w:u w:val="single"/>
        </w:rPr>
        <w:t>Requires that these providers meet/abide by current regulations applicable to licensed AL facilities</w:t>
      </w:r>
      <w:r w:rsidRPr="00015934">
        <w:rPr>
          <w:rFonts w:ascii="Times New Roman" w:hAnsi="Times New Roman" w:cs="Times New Roman"/>
          <w:sz w:val="24"/>
          <w:szCs w:val="24"/>
        </w:rPr>
        <w:t xml:space="preserve">. </w:t>
      </w:r>
      <w:r w:rsidR="00A86495">
        <w:rPr>
          <w:rFonts w:ascii="Times New Roman" w:hAnsi="Times New Roman" w:cs="Times New Roman"/>
          <w:sz w:val="24"/>
          <w:szCs w:val="24"/>
        </w:rPr>
        <w:t xml:space="preserve">(see pp. 5-7). </w:t>
      </w:r>
    </w:p>
    <w:p w14:paraId="5880FC77" w14:textId="6C211F52" w:rsidR="00FD0BA0" w:rsidRPr="00FD0BA0" w:rsidRDefault="00FD0BA0" w:rsidP="00FD0BA0">
      <w:pPr>
        <w:pStyle w:val="bill-item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D0BA0">
        <w:rPr>
          <w:rFonts w:ascii="Times New Roman" w:hAnsi="Times New Roman" w:cs="Times New Roman"/>
          <w:sz w:val="24"/>
          <w:szCs w:val="24"/>
        </w:rPr>
        <w:t>Repeals the provision concerning a provisional license for certain hospice programs</w:t>
      </w:r>
      <w:r w:rsidR="00AD7826">
        <w:rPr>
          <w:rFonts w:ascii="Times New Roman" w:hAnsi="Times New Roman" w:cs="Times New Roman"/>
          <w:sz w:val="24"/>
          <w:szCs w:val="24"/>
        </w:rPr>
        <w:t>.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6C2E5" w14:textId="1BA43A96" w:rsidR="00FD0BA0" w:rsidRPr="00FD0BA0" w:rsidRDefault="00FD0BA0" w:rsidP="00FD0BA0">
      <w:pPr>
        <w:pStyle w:val="bill-item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D0BA0">
        <w:rPr>
          <w:rFonts w:ascii="Times New Roman" w:hAnsi="Times New Roman" w:cs="Times New Roman"/>
          <w:sz w:val="24"/>
          <w:szCs w:val="24"/>
        </w:rPr>
        <w:t xml:space="preserve">Provides that the definition of </w:t>
      </w:r>
      <w:r w:rsidR="00DD1F56">
        <w:rPr>
          <w:rFonts w:ascii="Times New Roman" w:hAnsi="Times New Roman" w:cs="Times New Roman"/>
          <w:sz w:val="24"/>
          <w:szCs w:val="24"/>
        </w:rPr>
        <w:t>“</w:t>
      </w:r>
      <w:r w:rsidRPr="00FD0BA0">
        <w:rPr>
          <w:rFonts w:ascii="Times New Roman" w:hAnsi="Times New Roman" w:cs="Times New Roman"/>
          <w:sz w:val="24"/>
          <w:szCs w:val="24"/>
        </w:rPr>
        <w:t>home health services</w:t>
      </w:r>
      <w:r w:rsidR="00DD1F56">
        <w:rPr>
          <w:rFonts w:ascii="Times New Roman" w:hAnsi="Times New Roman" w:cs="Times New Roman"/>
          <w:sz w:val="24"/>
          <w:szCs w:val="24"/>
        </w:rPr>
        <w:t>”</w:t>
      </w:r>
      <w:r w:rsidRPr="00FD0BA0">
        <w:rPr>
          <w:rFonts w:ascii="Times New Roman" w:hAnsi="Times New Roman" w:cs="Times New Roman"/>
          <w:sz w:val="24"/>
          <w:szCs w:val="24"/>
        </w:rPr>
        <w:t xml:space="preserve"> includes community-based palliative care</w:t>
      </w:r>
      <w:r w:rsidR="00AD7826">
        <w:rPr>
          <w:rFonts w:ascii="Times New Roman" w:hAnsi="Times New Roman" w:cs="Times New Roman"/>
          <w:sz w:val="24"/>
          <w:szCs w:val="24"/>
        </w:rPr>
        <w:t>.</w:t>
      </w:r>
    </w:p>
    <w:p w14:paraId="5B9D28B4" w14:textId="10761440" w:rsidR="005A2A3F" w:rsidRPr="00015934" w:rsidRDefault="00777C7F" w:rsidP="00015934">
      <w:pPr>
        <w:pStyle w:val="bill-item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hyperlink r:id="rId18" w:history="1">
        <w:r w:rsidR="00853D03" w:rsidRPr="00853D03">
          <w:rPr>
            <w:rStyle w:val="Strong"/>
            <w:rFonts w:ascii="Times New Roman" w:hAnsi="Times New Roman" w:cs="Times New Roman"/>
            <w:color w:val="005580"/>
            <w:sz w:val="28"/>
            <w:szCs w:val="28"/>
          </w:rPr>
          <w:t>HB 1461</w:t>
        </w:r>
        <w:r w:rsidR="00853D03" w:rsidRPr="00853D03">
          <w:rPr>
            <w:rStyle w:val="Hyperlink"/>
            <w:rFonts w:ascii="Times New Roman" w:hAnsi="Times New Roman" w:cs="Times New Roman"/>
            <w:b/>
            <w:bCs/>
            <w:color w:val="005580"/>
            <w:sz w:val="28"/>
            <w:szCs w:val="28"/>
            <w:u w:val="none"/>
          </w:rPr>
          <w:t>: Long term services.</w:t>
        </w:r>
      </w:hyperlink>
    </w:p>
    <w:p w14:paraId="17C8016B" w14:textId="6B7AA873" w:rsidR="00430C25" w:rsidRPr="006E4406" w:rsidRDefault="00430C25" w:rsidP="00430C25">
      <w:pPr>
        <w:pStyle w:val="bill-item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406">
        <w:rPr>
          <w:rFonts w:ascii="Times New Roman" w:eastAsia="Times New Roman" w:hAnsi="Times New Roman" w:cs="Times New Roman"/>
          <w:color w:val="333333"/>
          <w:sz w:val="24"/>
          <w:szCs w:val="24"/>
        </w:rPr>
        <w:t>LeadingAge Indiana representatives, along with many individual members, made numerous connections with legislators around the state in support of this Bill</w:t>
      </w:r>
      <w:r w:rsidR="00853D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as well</w:t>
      </w:r>
      <w:r w:rsidRPr="006E44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</w:t>
      </w:r>
    </w:p>
    <w:bookmarkEnd w:id="0"/>
    <w:p w14:paraId="6EEB23D6" w14:textId="6C78347E" w:rsidR="00430C25" w:rsidRPr="00211F49" w:rsidRDefault="00853D03" w:rsidP="00797A14">
      <w:pPr>
        <w:pStyle w:val="bill-item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4C7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As part of the Budget Bill, </w:t>
      </w:r>
      <w:r w:rsidR="00211F49" w:rsidRPr="007E4C74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="00430C25" w:rsidRPr="007E4C74">
        <w:rPr>
          <w:rFonts w:ascii="Times New Roman" w:eastAsia="Times New Roman" w:hAnsi="Times New Roman" w:cs="Times New Roman"/>
          <w:color w:val="000000"/>
          <w:sz w:val="24"/>
          <w:szCs w:val="24"/>
        </w:rPr>
        <w:t>stablishe</w:t>
      </w:r>
      <w:r w:rsidR="00FD0BA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30C25" w:rsidRPr="00211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new Medicaid rate methodology for </w:t>
      </w:r>
      <w:r w:rsidR="007E4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living </w:t>
      </w:r>
      <w:proofErr w:type="spellStart"/>
      <w:r w:rsidR="00430C25" w:rsidRPr="00211F49">
        <w:rPr>
          <w:rFonts w:ascii="Times New Roman" w:eastAsia="Times New Roman" w:hAnsi="Times New Roman" w:cs="Times New Roman"/>
          <w:color w:val="000000"/>
          <w:sz w:val="24"/>
          <w:szCs w:val="24"/>
        </w:rPr>
        <w:t>A&amp;D</w:t>
      </w:r>
      <w:proofErr w:type="spellEnd"/>
      <w:r w:rsidR="00430C25" w:rsidRPr="00211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Waiver providers that have a certain % Medicaid population; </w:t>
      </w:r>
      <w:r w:rsidR="007E4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goal is to </w:t>
      </w:r>
      <w:r w:rsidR="00430C25" w:rsidRPr="00211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employ a predictable and stable means of rate increases over time.  </w:t>
      </w:r>
    </w:p>
    <w:p w14:paraId="38916675" w14:textId="77777777" w:rsidR="00015934" w:rsidRPr="00FD0BA0" w:rsidRDefault="00015934" w:rsidP="00015934">
      <w:pPr>
        <w:pStyle w:val="bill-item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406">
        <w:rPr>
          <w:rFonts w:ascii="Times New Roman" w:eastAsia="Times New Roman" w:hAnsi="Times New Roman" w:cs="Times New Roman"/>
          <w:color w:val="333333"/>
          <w:sz w:val="24"/>
          <w:szCs w:val="24"/>
        </w:rPr>
        <w:t>Provides some state oversight and accountability opportunities on temporary worker agencies; also e</w:t>
      </w:r>
      <w:r w:rsidRPr="006E4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nsures that agency workers are properly licensed before placement with health care providers. </w:t>
      </w:r>
    </w:p>
    <w:p w14:paraId="1CD87F1E" w14:textId="4C0B26D0" w:rsidR="00015934" w:rsidRPr="00777C7F" w:rsidRDefault="002A38C2" w:rsidP="00015934">
      <w:pPr>
        <w:pStyle w:val="bill-item"/>
        <w:numPr>
          <w:ilvl w:val="1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7C7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HB 1461 prohibits temporary heath care staffing agencies from poaching a health care </w:t>
      </w:r>
      <w:proofErr w:type="spellStart"/>
      <w:r w:rsidRPr="00777C7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facility’s</w:t>
      </w:r>
      <w:proofErr w:type="spellEnd"/>
      <w:r w:rsidRPr="00777C7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; and/or engaging in the requirement of non-compete or conversion fee agreements</w:t>
      </w:r>
      <w:r w:rsidRPr="00777C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(see pp. 13-20). </w:t>
      </w:r>
    </w:p>
    <w:p w14:paraId="0C6CBF8A" w14:textId="69F1DAA8" w:rsidR="00777C7F" w:rsidRPr="00777C7F" w:rsidRDefault="00777C7F" w:rsidP="00777C7F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 w:rsidRPr="00777C7F">
        <w:rPr>
          <w:rFonts w:ascii="Times New Roman" w:hAnsi="Times New Roman" w:cs="Times New Roman"/>
        </w:rPr>
        <w:t>Notably, m</w:t>
      </w:r>
      <w:r w:rsidRPr="00777C7F">
        <w:rPr>
          <w:rFonts w:ascii="Times New Roman" w:hAnsi="Times New Roman" w:cs="Times New Roman"/>
        </w:rPr>
        <w:t>ost new laws only apply prospectively (after July 1, 2023)</w:t>
      </w:r>
      <w:r w:rsidRPr="00777C7F">
        <w:rPr>
          <w:rFonts w:ascii="Times New Roman" w:hAnsi="Times New Roman" w:cs="Times New Roman"/>
        </w:rPr>
        <w:t xml:space="preserve">.  However, </w:t>
      </w:r>
      <w:r w:rsidRPr="00777C7F">
        <w:rPr>
          <w:rFonts w:ascii="Times New Roman" w:hAnsi="Times New Roman" w:cs="Times New Roman"/>
        </w:rPr>
        <w:t>it is not clear whether the legislature intend</w:t>
      </w:r>
      <w:r w:rsidRPr="00777C7F">
        <w:rPr>
          <w:rFonts w:ascii="Times New Roman" w:hAnsi="Times New Roman" w:cs="Times New Roman"/>
        </w:rPr>
        <w:t>ed</w:t>
      </w:r>
      <w:r w:rsidRPr="00777C7F">
        <w:rPr>
          <w:rFonts w:ascii="Times New Roman" w:hAnsi="Times New Roman" w:cs="Times New Roman"/>
        </w:rPr>
        <w:t xml:space="preserve"> these prohibitions (no non-compete, no poaching, no conversion fees) to apply </w:t>
      </w:r>
      <w:r w:rsidRPr="00777C7F">
        <w:rPr>
          <w:rFonts w:ascii="Times New Roman" w:hAnsi="Times New Roman" w:cs="Times New Roman"/>
          <w:u w:val="single"/>
        </w:rPr>
        <w:t xml:space="preserve">right </w:t>
      </w:r>
      <w:r w:rsidRPr="00777C7F">
        <w:rPr>
          <w:rFonts w:ascii="Times New Roman" w:hAnsi="Times New Roman" w:cs="Times New Roman"/>
          <w:u w:val="single"/>
        </w:rPr>
        <w:t xml:space="preserve">away </w:t>
      </w:r>
      <w:r w:rsidRPr="00777C7F">
        <w:rPr>
          <w:rFonts w:ascii="Times New Roman" w:hAnsi="Times New Roman" w:cs="Times New Roman"/>
          <w:u w:val="single"/>
        </w:rPr>
        <w:t>or not until after July 1, 2023</w:t>
      </w:r>
      <w:r w:rsidRPr="00777C7F">
        <w:rPr>
          <w:rFonts w:ascii="Times New Roman" w:hAnsi="Times New Roman" w:cs="Times New Roman"/>
        </w:rPr>
        <w:t xml:space="preserve">.  This point </w:t>
      </w:r>
      <w:r w:rsidRPr="00777C7F">
        <w:rPr>
          <w:rFonts w:ascii="Times New Roman" w:hAnsi="Times New Roman" w:cs="Times New Roman"/>
        </w:rPr>
        <w:t xml:space="preserve">is particularly important to contracts signed / placements made </w:t>
      </w:r>
      <w:r w:rsidRPr="00777C7F">
        <w:rPr>
          <w:rFonts w:ascii="Times New Roman" w:hAnsi="Times New Roman" w:cs="Times New Roman"/>
          <w:u w:val="single"/>
        </w:rPr>
        <w:t>before</w:t>
      </w:r>
      <w:r w:rsidRPr="00777C7F">
        <w:rPr>
          <w:rFonts w:ascii="Times New Roman" w:hAnsi="Times New Roman" w:cs="Times New Roman"/>
        </w:rPr>
        <w:t xml:space="preserve"> 7/1/23.  Presumably for any new contracts, </w:t>
      </w:r>
      <w:r>
        <w:rPr>
          <w:rFonts w:ascii="Times New Roman" w:hAnsi="Times New Roman" w:cs="Times New Roman"/>
        </w:rPr>
        <w:t xml:space="preserve">providers will </w:t>
      </w:r>
      <w:r w:rsidRPr="00777C7F">
        <w:rPr>
          <w:rFonts w:ascii="Times New Roman" w:hAnsi="Times New Roman" w:cs="Times New Roman"/>
        </w:rPr>
        <w:t xml:space="preserve">negotiate the new laws into those new contracts.  </w:t>
      </w:r>
    </w:p>
    <w:p w14:paraId="4DC63F6B" w14:textId="2944701B" w:rsidR="00777C7F" w:rsidRPr="00777C7F" w:rsidRDefault="00777C7F" w:rsidP="00777C7F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 w:rsidRPr="00777C7F">
        <w:rPr>
          <w:rFonts w:ascii="Times New Roman" w:hAnsi="Times New Roman" w:cs="Times New Roman"/>
        </w:rPr>
        <w:t xml:space="preserve">Providers would be wise to </w:t>
      </w:r>
      <w:r w:rsidRPr="00777C7F">
        <w:rPr>
          <w:rFonts w:ascii="Times New Roman" w:hAnsi="Times New Roman" w:cs="Times New Roman"/>
        </w:rPr>
        <w:t xml:space="preserve">contact legal counsel on the particulars of executing new or re-negotiating any existing placements/contracts.     </w:t>
      </w:r>
    </w:p>
    <w:p w14:paraId="4DCAAAE6" w14:textId="444EC496" w:rsidR="00430C25" w:rsidRPr="006E4406" w:rsidRDefault="00430C25" w:rsidP="00430C25">
      <w:pPr>
        <w:pStyle w:val="bill-item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406">
        <w:rPr>
          <w:rFonts w:ascii="Times New Roman" w:eastAsia="Times New Roman" w:hAnsi="Times New Roman" w:cs="Times New Roman"/>
          <w:color w:val="333333"/>
          <w:sz w:val="24"/>
          <w:szCs w:val="24"/>
        </w:rPr>
        <w:t>Consistent with CMS regulations, p</w:t>
      </w:r>
      <w:r w:rsidRPr="006E4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rovides that leases for </w:t>
      </w:r>
      <w:r w:rsidR="007E4C74">
        <w:rPr>
          <w:rFonts w:ascii="Times New Roman" w:eastAsia="Times New Roman" w:hAnsi="Times New Roman" w:cs="Times New Roman"/>
          <w:color w:val="000000"/>
          <w:sz w:val="24"/>
          <w:szCs w:val="24"/>
        </w:rPr>
        <w:t>AL/</w:t>
      </w:r>
      <w:proofErr w:type="spellStart"/>
      <w:r w:rsidRPr="006E4406">
        <w:rPr>
          <w:rFonts w:ascii="Times New Roman" w:eastAsia="Times New Roman" w:hAnsi="Times New Roman" w:cs="Times New Roman"/>
          <w:color w:val="000000"/>
          <w:sz w:val="24"/>
          <w:szCs w:val="24"/>
        </w:rPr>
        <w:t>RCF</w:t>
      </w:r>
      <w:proofErr w:type="spellEnd"/>
      <w:r w:rsidRPr="006E4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residents who receive Medicaid are subject to Indiana landlord/tenant law rather than the Discharge Rules.</w:t>
      </w:r>
    </w:p>
    <w:p w14:paraId="5017F4EC" w14:textId="77777777" w:rsidR="00FD0BA0" w:rsidRPr="00FD0BA0" w:rsidRDefault="00FD0BA0" w:rsidP="007E4C74">
      <w:pPr>
        <w:pStyle w:val="bill-item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406">
        <w:rPr>
          <w:rFonts w:ascii="Times New Roman" w:hAnsi="Times New Roman" w:cs="Times New Roman"/>
          <w:sz w:val="24"/>
          <w:szCs w:val="24"/>
        </w:rPr>
        <w:t>Requires</w:t>
      </w:r>
      <w:r>
        <w:rPr>
          <w:rFonts w:ascii="Times New Roman" w:hAnsi="Times New Roman" w:cs="Times New Roman"/>
          <w:sz w:val="24"/>
          <w:szCs w:val="24"/>
        </w:rPr>
        <w:t xml:space="preserve"> FSSA </w:t>
      </w:r>
      <w:r w:rsidRPr="006E4406">
        <w:rPr>
          <w:rFonts w:ascii="Times New Roman" w:hAnsi="Times New Roman" w:cs="Times New Roman"/>
          <w:sz w:val="24"/>
          <w:szCs w:val="24"/>
        </w:rPr>
        <w:t xml:space="preserve">to contract with more than one entity to provide functional eligibility determinations for individuals applying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A&amp;D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06">
        <w:rPr>
          <w:rFonts w:ascii="Times New Roman" w:hAnsi="Times New Roman" w:cs="Times New Roman"/>
          <w:sz w:val="24"/>
          <w:szCs w:val="24"/>
        </w:rPr>
        <w:t>Medicaid waiver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7C8166" w14:textId="60ED3563" w:rsidR="00FD0BA0" w:rsidRPr="007E4C74" w:rsidRDefault="00FD0BA0" w:rsidP="007E4C74">
      <w:pPr>
        <w:pStyle w:val="bill-item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406">
        <w:rPr>
          <w:rFonts w:ascii="Times New Roman" w:hAnsi="Times New Roman" w:cs="Times New Roman"/>
          <w:sz w:val="24"/>
          <w:szCs w:val="24"/>
        </w:rPr>
        <w:t xml:space="preserve">Requires </w:t>
      </w:r>
      <w:r>
        <w:rPr>
          <w:rFonts w:ascii="Times New Roman" w:hAnsi="Times New Roman" w:cs="Times New Roman"/>
          <w:sz w:val="24"/>
          <w:szCs w:val="24"/>
        </w:rPr>
        <w:t xml:space="preserve">FSSA </w:t>
      </w:r>
      <w:r w:rsidRPr="006E4406">
        <w:rPr>
          <w:rFonts w:ascii="Times New Roman" w:hAnsi="Times New Roman" w:cs="Times New Roman"/>
          <w:sz w:val="24"/>
          <w:szCs w:val="24"/>
        </w:rPr>
        <w:t>to report to the budget committee and legislative council certain information concerning: (1) the average length of time to conduct function eligibility assessments; and (2) a plan to provide functional eligibility not later than 72 hours from the eligibility assessment.</w:t>
      </w:r>
    </w:p>
    <w:p w14:paraId="71996AF2" w14:textId="45BAD271" w:rsidR="00430C25" w:rsidRPr="006E4406" w:rsidRDefault="00430C25" w:rsidP="00430C25">
      <w:pPr>
        <w:pStyle w:val="bill-item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4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Relaxes rules surrounding transfer of Medicaid beds </w:t>
      </w:r>
      <w:r w:rsidRPr="006E440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within</w:t>
      </w:r>
      <w:r w:rsidRPr="006E44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county</w:t>
      </w:r>
      <w:r w:rsidR="007E4C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(“certificate of need” implications)</w:t>
      </w:r>
      <w:r w:rsidRPr="006E44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does not expand the number of beds in any county.  </w:t>
      </w:r>
    </w:p>
    <w:p w14:paraId="25A8BF73" w14:textId="5AAD9601" w:rsidR="00430C25" w:rsidRPr="007E4C74" w:rsidRDefault="007E4C74" w:rsidP="00430C25">
      <w:pPr>
        <w:pStyle w:val="bill-item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4C74">
        <w:rPr>
          <w:rFonts w:ascii="Times New Roman" w:eastAsia="Times New Roman" w:hAnsi="Times New Roman" w:cs="Times New Roman"/>
          <w:color w:val="333333"/>
          <w:sz w:val="24"/>
          <w:szCs w:val="24"/>
        </w:rPr>
        <w:t>As part of the Budget Bill, r</w:t>
      </w:r>
      <w:r w:rsidRPr="007E4C74">
        <w:rPr>
          <w:rFonts w:ascii="Times New Roman" w:eastAsia="Times New Roman" w:hAnsi="Times New Roman" w:cs="Times New Roman"/>
          <w:color w:val="000000"/>
          <w:sz w:val="24"/>
          <w:szCs w:val="24"/>
        </w:rPr>
        <w:t>eauthorizes the</w:t>
      </w:r>
      <w:r w:rsidR="00430C25" w:rsidRPr="007E4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4C74">
        <w:rPr>
          <w:rFonts w:ascii="Times New Roman" w:eastAsia="Times New Roman" w:hAnsi="Times New Roman" w:cs="Times New Roman"/>
          <w:color w:val="000000"/>
          <w:sz w:val="24"/>
          <w:szCs w:val="24"/>
        </w:rPr>
        <w:t>QAF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an additional two years in its </w:t>
      </w:r>
      <w:r w:rsidR="00430C25" w:rsidRPr="006E4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form.  </w:t>
      </w:r>
      <w:r w:rsidR="00430C25" w:rsidRPr="006E4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14:paraId="699CE3BA" w14:textId="77777777" w:rsidR="00FD0BA0" w:rsidRDefault="007E4C74" w:rsidP="00FD0BA0">
      <w:pPr>
        <w:pStyle w:val="bill-item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4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Streamlines the licensure process for both </w:t>
      </w:r>
      <w:r w:rsidR="00FD0BA0" w:rsidRPr="00FD0BA0">
        <w:rPr>
          <w:rFonts w:ascii="Times New Roman" w:eastAsia="Times New Roman" w:hAnsi="Times New Roman" w:cs="Times New Roman"/>
          <w:color w:val="333333"/>
          <w:sz w:val="24"/>
          <w:szCs w:val="24"/>
        </w:rPr>
        <w:t>HFA and RCA licenses</w:t>
      </w:r>
      <w:r w:rsidR="00FD0B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Pr="006E4406">
        <w:rPr>
          <w:rFonts w:ascii="Times New Roman" w:eastAsia="Times New Roman" w:hAnsi="Times New Roman" w:cs="Times New Roman"/>
          <w:color w:val="333333"/>
          <w:sz w:val="24"/>
          <w:szCs w:val="24"/>
        </w:rPr>
        <w:t>in an attempt to</w:t>
      </w:r>
      <w:proofErr w:type="gramEnd"/>
      <w:r w:rsidRPr="006E44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bring the process more in line with other neighboring states; also reduces some of the RCA licensure requirements with more of a focus on experience over time.   </w:t>
      </w:r>
    </w:p>
    <w:p w14:paraId="7CDD972C" w14:textId="77777777" w:rsidR="00E26DFB" w:rsidRPr="00E26DFB" w:rsidRDefault="00E26DFB" w:rsidP="00E26DFB">
      <w:pPr>
        <w:pStyle w:val="bill-item"/>
        <w:numPr>
          <w:ilvl w:val="1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Keeps </w:t>
      </w:r>
      <w:r w:rsidR="00430C25" w:rsidRPr="00FD0BA0">
        <w:rPr>
          <w:rFonts w:ascii="Times New Roman" w:eastAsia="Times New Roman" w:hAnsi="Times New Roman" w:cs="Times New Roman"/>
          <w:sz w:val="24"/>
          <w:szCs w:val="24"/>
        </w:rPr>
        <w:t>the current RCA licensure, however, the training requirements will be greatly curtailed to achieve parity with other states.</w:t>
      </w:r>
    </w:p>
    <w:p w14:paraId="1767F5AF" w14:textId="77777777" w:rsidR="00E26DFB" w:rsidRPr="00E26DFB" w:rsidRDefault="00430C25" w:rsidP="00E26DFB">
      <w:pPr>
        <w:pStyle w:val="bill-item"/>
        <w:numPr>
          <w:ilvl w:val="1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DFB">
        <w:rPr>
          <w:rFonts w:ascii="Times New Roman" w:eastAsia="Times New Roman" w:hAnsi="Times New Roman" w:cs="Times New Roman"/>
          <w:sz w:val="24"/>
          <w:szCs w:val="24"/>
        </w:rPr>
        <w:t xml:space="preserve">Training requirements will be codified in lieu of administrative code changes which will expedite their effective date. </w:t>
      </w:r>
    </w:p>
    <w:p w14:paraId="40A21205" w14:textId="1C59DD26" w:rsidR="00430C25" w:rsidRPr="00E26DFB" w:rsidRDefault="00430C25" w:rsidP="00E26DFB">
      <w:pPr>
        <w:pStyle w:val="bill-item"/>
        <w:numPr>
          <w:ilvl w:val="1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DFB">
        <w:rPr>
          <w:rFonts w:ascii="Times New Roman" w:eastAsia="Times New Roman" w:hAnsi="Times New Roman" w:cs="Times New Roman"/>
          <w:sz w:val="24"/>
          <w:szCs w:val="24"/>
        </w:rPr>
        <w:t>New RCA License Requirements</w:t>
      </w:r>
      <w:r w:rsidR="00D760BE">
        <w:rPr>
          <w:rFonts w:ascii="Times New Roman" w:eastAsia="Times New Roman" w:hAnsi="Times New Roman" w:cs="Times New Roman"/>
          <w:sz w:val="24"/>
          <w:szCs w:val="24"/>
        </w:rPr>
        <w:t xml:space="preserve"> (starting on p. 22)</w:t>
      </w:r>
      <w:r w:rsidRPr="00E26DF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9A2322" w14:textId="22FD27F0" w:rsidR="00430C25" w:rsidRPr="006E4406" w:rsidRDefault="00430C25" w:rsidP="00430C25">
      <w:pPr>
        <w:pStyle w:val="xmsonormal"/>
        <w:numPr>
          <w:ilvl w:val="2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4406">
        <w:rPr>
          <w:rFonts w:ascii="Times New Roman" w:eastAsia="Times New Roman" w:hAnsi="Times New Roman" w:cs="Times New Roman"/>
          <w:sz w:val="24"/>
          <w:szCs w:val="24"/>
        </w:rPr>
        <w:t xml:space="preserve">Minimum 21 years old, </w:t>
      </w:r>
      <w:r w:rsidR="00D760BE">
        <w:rPr>
          <w:rFonts w:ascii="Times New Roman" w:eastAsia="Times New Roman" w:hAnsi="Times New Roman" w:cs="Times New Roman"/>
          <w:sz w:val="24"/>
          <w:szCs w:val="24"/>
        </w:rPr>
        <w:t xml:space="preserve">high school diploma, </w:t>
      </w:r>
      <w:r w:rsidRPr="006E4406">
        <w:rPr>
          <w:rFonts w:ascii="Times New Roman" w:eastAsia="Times New Roman" w:hAnsi="Times New Roman" w:cs="Times New Roman"/>
          <w:sz w:val="24"/>
          <w:szCs w:val="24"/>
        </w:rPr>
        <w:t xml:space="preserve">pass criminal background check (already covered in </w:t>
      </w:r>
      <w:bookmarkStart w:id="1" w:name="_Int_zhlAzKKU"/>
      <w:r w:rsidRPr="006E4406">
        <w:rPr>
          <w:rFonts w:ascii="Times New Roman" w:eastAsia="Times New Roman" w:hAnsi="Times New Roman" w:cs="Times New Roman"/>
          <w:sz w:val="24"/>
          <w:szCs w:val="24"/>
        </w:rPr>
        <w:t>IC</w:t>
      </w:r>
      <w:bookmarkEnd w:id="1"/>
      <w:r w:rsidRPr="006E4406">
        <w:rPr>
          <w:rFonts w:ascii="Times New Roman" w:eastAsia="Times New Roman" w:hAnsi="Times New Roman" w:cs="Times New Roman"/>
          <w:sz w:val="24"/>
          <w:szCs w:val="24"/>
        </w:rPr>
        <w:t xml:space="preserve"> 25-0.5-1-8)</w:t>
      </w:r>
    </w:p>
    <w:p w14:paraId="4842969C" w14:textId="77777777" w:rsidR="00430C25" w:rsidRPr="006E4406" w:rsidRDefault="00430C25" w:rsidP="00430C25">
      <w:pPr>
        <w:pStyle w:val="ListParagraph"/>
        <w:numPr>
          <w:ilvl w:val="2"/>
          <w:numId w:val="18"/>
        </w:numPr>
        <w:spacing w:line="252" w:lineRule="auto"/>
        <w:contextualSpacing w:val="0"/>
        <w:rPr>
          <w:rFonts w:ascii="Times New Roman" w:eastAsia="Times New Roman" w:hAnsi="Times New Roman" w:cs="Times New Roman"/>
        </w:rPr>
      </w:pPr>
      <w:r w:rsidRPr="006E4406">
        <w:rPr>
          <w:rFonts w:ascii="Times New Roman" w:eastAsia="Times New Roman" w:hAnsi="Times New Roman" w:cs="Times New Roman"/>
        </w:rPr>
        <w:t xml:space="preserve">Additionally, must meet </w:t>
      </w:r>
      <w:r w:rsidRPr="006E4406">
        <w:rPr>
          <w:rFonts w:ascii="Times New Roman" w:eastAsia="Times New Roman" w:hAnsi="Times New Roman" w:cs="Times New Roman"/>
          <w:b/>
          <w:bCs/>
          <w:u w:val="single"/>
        </w:rPr>
        <w:t>one</w:t>
      </w:r>
      <w:r w:rsidRPr="006E4406">
        <w:rPr>
          <w:rFonts w:ascii="Times New Roman" w:eastAsia="Times New Roman" w:hAnsi="Times New Roman" w:cs="Times New Roman"/>
        </w:rPr>
        <w:t xml:space="preserve"> of these requirements: </w:t>
      </w:r>
    </w:p>
    <w:p w14:paraId="3D98AE8C" w14:textId="77777777" w:rsidR="00430C25" w:rsidRPr="006E4406" w:rsidRDefault="00430C25" w:rsidP="00430C25">
      <w:pPr>
        <w:pStyle w:val="ListParagraph"/>
        <w:numPr>
          <w:ilvl w:val="3"/>
          <w:numId w:val="18"/>
        </w:numPr>
        <w:spacing w:line="252" w:lineRule="auto"/>
        <w:contextualSpacing w:val="0"/>
        <w:rPr>
          <w:rFonts w:ascii="Times New Roman" w:eastAsia="Times New Roman" w:hAnsi="Times New Roman" w:cs="Times New Roman"/>
        </w:rPr>
      </w:pPr>
      <w:r w:rsidRPr="006E4406">
        <w:rPr>
          <w:rFonts w:ascii="Times New Roman" w:eastAsia="Times New Roman" w:hAnsi="Times New Roman" w:cs="Times New Roman"/>
        </w:rPr>
        <w:t xml:space="preserve">(1) be licensed as an HFA or licensed health care professional (can specific exactly if need be – MD, </w:t>
      </w:r>
      <w:bookmarkStart w:id="2" w:name="_Int_ceZ0FtAJ"/>
      <w:r w:rsidRPr="006E4406">
        <w:rPr>
          <w:rFonts w:ascii="Times New Roman" w:eastAsia="Times New Roman" w:hAnsi="Times New Roman" w:cs="Times New Roman"/>
        </w:rPr>
        <w:t>RN</w:t>
      </w:r>
      <w:bookmarkEnd w:id="2"/>
      <w:r w:rsidRPr="006E4406">
        <w:rPr>
          <w:rFonts w:ascii="Times New Roman" w:eastAsia="Times New Roman" w:hAnsi="Times New Roman" w:cs="Times New Roman"/>
        </w:rPr>
        <w:t xml:space="preserve">, NP, </w:t>
      </w:r>
      <w:bookmarkStart w:id="3" w:name="_Int_eZnVGlxi"/>
      <w:r w:rsidRPr="006E4406">
        <w:rPr>
          <w:rFonts w:ascii="Times New Roman" w:eastAsia="Times New Roman" w:hAnsi="Times New Roman" w:cs="Times New Roman"/>
        </w:rPr>
        <w:t>APRN</w:t>
      </w:r>
      <w:bookmarkEnd w:id="3"/>
      <w:r w:rsidRPr="006E4406">
        <w:rPr>
          <w:rFonts w:ascii="Times New Roman" w:eastAsia="Times New Roman" w:hAnsi="Times New Roman" w:cs="Times New Roman"/>
        </w:rPr>
        <w:t xml:space="preserve">, etc.); </w:t>
      </w:r>
    </w:p>
    <w:p w14:paraId="256CFC77" w14:textId="77777777" w:rsidR="00430C25" w:rsidRPr="006E4406" w:rsidRDefault="00430C25" w:rsidP="00430C25">
      <w:pPr>
        <w:pStyle w:val="ListParagraph"/>
        <w:numPr>
          <w:ilvl w:val="3"/>
          <w:numId w:val="18"/>
        </w:numPr>
        <w:spacing w:line="252" w:lineRule="auto"/>
        <w:contextualSpacing w:val="0"/>
        <w:rPr>
          <w:rFonts w:ascii="Times New Roman" w:eastAsia="Times New Roman" w:hAnsi="Times New Roman" w:cs="Times New Roman"/>
        </w:rPr>
      </w:pPr>
      <w:r w:rsidRPr="006E4406">
        <w:rPr>
          <w:rFonts w:ascii="Times New Roman" w:eastAsia="Times New Roman" w:hAnsi="Times New Roman" w:cs="Times New Roman"/>
        </w:rPr>
        <w:t xml:space="preserve">(2) have at least one year of management experience in health care, housing, hospitality or providing similar services to the elderly; </w:t>
      </w:r>
    </w:p>
    <w:p w14:paraId="611E1F45" w14:textId="77777777" w:rsidR="00430C25" w:rsidRPr="006E4406" w:rsidRDefault="00430C25" w:rsidP="00430C25">
      <w:pPr>
        <w:pStyle w:val="ListParagraph"/>
        <w:numPr>
          <w:ilvl w:val="3"/>
          <w:numId w:val="18"/>
        </w:numPr>
        <w:spacing w:line="252" w:lineRule="auto"/>
        <w:contextualSpacing w:val="0"/>
        <w:rPr>
          <w:rFonts w:ascii="Times New Roman" w:eastAsia="Times New Roman" w:hAnsi="Times New Roman" w:cs="Times New Roman"/>
        </w:rPr>
      </w:pPr>
      <w:r w:rsidRPr="006E4406">
        <w:rPr>
          <w:rFonts w:ascii="Times New Roman" w:eastAsia="Times New Roman" w:hAnsi="Times New Roman" w:cs="Times New Roman"/>
        </w:rPr>
        <w:t xml:space="preserve">(3) have an associate degree in the field of gerontology or health care; </w:t>
      </w:r>
    </w:p>
    <w:p w14:paraId="5BA28330" w14:textId="77777777" w:rsidR="00430C25" w:rsidRPr="006E4406" w:rsidRDefault="00430C25" w:rsidP="00430C25">
      <w:pPr>
        <w:pStyle w:val="ListParagraph"/>
        <w:numPr>
          <w:ilvl w:val="3"/>
          <w:numId w:val="18"/>
        </w:numPr>
        <w:spacing w:line="252" w:lineRule="auto"/>
        <w:contextualSpacing w:val="0"/>
        <w:rPr>
          <w:rFonts w:ascii="Times New Roman" w:eastAsia="Times New Roman" w:hAnsi="Times New Roman" w:cs="Times New Roman"/>
        </w:rPr>
      </w:pPr>
      <w:r w:rsidRPr="006E4406">
        <w:rPr>
          <w:rFonts w:ascii="Times New Roman" w:eastAsia="Times New Roman" w:hAnsi="Times New Roman" w:cs="Times New Roman"/>
        </w:rPr>
        <w:lastRenderedPageBreak/>
        <w:t xml:space="preserve">(4) hold a baccalaureate degree or higher from an accredited university; or </w:t>
      </w:r>
    </w:p>
    <w:p w14:paraId="048FC293" w14:textId="77777777" w:rsidR="00430C25" w:rsidRPr="006E4406" w:rsidRDefault="00430C25" w:rsidP="00430C25">
      <w:pPr>
        <w:pStyle w:val="ListParagraph"/>
        <w:numPr>
          <w:ilvl w:val="3"/>
          <w:numId w:val="18"/>
        </w:numPr>
        <w:spacing w:line="252" w:lineRule="auto"/>
        <w:contextualSpacing w:val="0"/>
        <w:rPr>
          <w:rFonts w:ascii="Times New Roman" w:eastAsia="Times New Roman" w:hAnsi="Times New Roman" w:cs="Times New Roman"/>
        </w:rPr>
      </w:pPr>
      <w:r w:rsidRPr="006E4406">
        <w:rPr>
          <w:rFonts w:ascii="Times New Roman" w:eastAsia="Times New Roman" w:hAnsi="Times New Roman" w:cs="Times New Roman"/>
        </w:rPr>
        <w:t>(5) complete a 100-hour board approved, specialized course in residential care facility administration.</w:t>
      </w:r>
    </w:p>
    <w:p w14:paraId="1A2837BA" w14:textId="77777777" w:rsidR="00430C25" w:rsidRPr="006E4406" w:rsidRDefault="00430C25" w:rsidP="00430C25">
      <w:pPr>
        <w:pStyle w:val="ListParagraph"/>
        <w:numPr>
          <w:ilvl w:val="2"/>
          <w:numId w:val="18"/>
        </w:numPr>
        <w:contextualSpacing w:val="0"/>
        <w:rPr>
          <w:rFonts w:ascii="Times New Roman" w:eastAsia="Times New Roman" w:hAnsi="Times New Roman" w:cs="Times New Roman"/>
        </w:rPr>
      </w:pPr>
      <w:r w:rsidRPr="006E4406">
        <w:rPr>
          <w:rFonts w:ascii="Times New Roman" w:eastAsia="Times New Roman" w:hAnsi="Times New Roman" w:cs="Times New Roman"/>
        </w:rPr>
        <w:t>Pass state jurisprudence exam, specific to the regulations governing residential care facilities.</w:t>
      </w:r>
    </w:p>
    <w:p w14:paraId="13EEA880" w14:textId="77777777" w:rsidR="00430C25" w:rsidRPr="006E4406" w:rsidRDefault="00430C25" w:rsidP="00E26DFB">
      <w:pPr>
        <w:pStyle w:val="ListParagraph"/>
        <w:numPr>
          <w:ilvl w:val="2"/>
          <w:numId w:val="18"/>
        </w:numPr>
        <w:contextualSpacing w:val="0"/>
        <w:rPr>
          <w:rFonts w:ascii="Times New Roman" w:eastAsia="Times New Roman" w:hAnsi="Times New Roman" w:cs="Times New Roman"/>
        </w:rPr>
      </w:pPr>
      <w:r w:rsidRPr="006E4406">
        <w:rPr>
          <w:rFonts w:ascii="Times New Roman" w:eastAsia="Times New Roman" w:hAnsi="Times New Roman" w:cs="Times New Roman"/>
        </w:rPr>
        <w:t>Biennial completion of 20 hours of continuing education (unless HFA license holder)</w:t>
      </w:r>
    </w:p>
    <w:p w14:paraId="610CF3B3" w14:textId="4D18AA02" w:rsidR="00430C25" w:rsidRPr="006E4406" w:rsidRDefault="00430C25" w:rsidP="00430C25">
      <w:pPr>
        <w:pStyle w:val="xmsonormal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4" w:name="_Int_wCIyEMXM"/>
      <w:proofErr w:type="spellStart"/>
      <w:r w:rsidRPr="006E4406">
        <w:rPr>
          <w:rFonts w:ascii="Times New Roman" w:eastAsia="Times New Roman" w:hAnsi="Times New Roman" w:cs="Times New Roman"/>
          <w:sz w:val="24"/>
          <w:szCs w:val="24"/>
        </w:rPr>
        <w:t>HFAs</w:t>
      </w:r>
      <w:bookmarkEnd w:id="4"/>
      <w:proofErr w:type="spellEnd"/>
      <w:r w:rsidR="00D760BE">
        <w:rPr>
          <w:rFonts w:ascii="Times New Roman" w:eastAsia="Times New Roman" w:hAnsi="Times New Roman" w:cs="Times New Roman"/>
          <w:sz w:val="24"/>
          <w:szCs w:val="24"/>
        </w:rPr>
        <w:t xml:space="preserve"> (starting on p. 25)</w:t>
      </w:r>
    </w:p>
    <w:p w14:paraId="48EDF969" w14:textId="57F2B066" w:rsidR="00430C25" w:rsidRPr="006E4406" w:rsidRDefault="00430C25" w:rsidP="00E26DFB">
      <w:pPr>
        <w:pStyle w:val="xmsonormal"/>
        <w:numPr>
          <w:ilvl w:val="2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4406">
        <w:rPr>
          <w:rFonts w:ascii="Times New Roman" w:eastAsia="Times New Roman" w:hAnsi="Times New Roman" w:cs="Times New Roman"/>
          <w:sz w:val="24"/>
          <w:szCs w:val="24"/>
        </w:rPr>
        <w:t>Lower</w:t>
      </w:r>
      <w:r w:rsidR="00E26DF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4406">
        <w:rPr>
          <w:rFonts w:ascii="Times New Roman" w:eastAsia="Times New Roman" w:hAnsi="Times New Roman" w:cs="Times New Roman"/>
          <w:sz w:val="24"/>
          <w:szCs w:val="24"/>
        </w:rPr>
        <w:t xml:space="preserve"> the required number of Administrator in Training (</w:t>
      </w:r>
      <w:proofErr w:type="spellStart"/>
      <w:r w:rsidRPr="006E4406">
        <w:rPr>
          <w:rFonts w:ascii="Times New Roman" w:eastAsia="Times New Roman" w:hAnsi="Times New Roman" w:cs="Times New Roman"/>
          <w:sz w:val="24"/>
          <w:szCs w:val="24"/>
        </w:rPr>
        <w:t>AIT</w:t>
      </w:r>
      <w:proofErr w:type="spellEnd"/>
      <w:r w:rsidRPr="006E4406">
        <w:rPr>
          <w:rFonts w:ascii="Times New Roman" w:eastAsia="Times New Roman" w:hAnsi="Times New Roman" w:cs="Times New Roman"/>
          <w:sz w:val="24"/>
          <w:szCs w:val="24"/>
        </w:rPr>
        <w:t>) hours for HFA licensure dependent on educational attainment level and job experience.</w:t>
      </w:r>
    </w:p>
    <w:p w14:paraId="6C8613BF" w14:textId="14661E83" w:rsidR="00430C25" w:rsidRPr="006E4406" w:rsidRDefault="00430C25" w:rsidP="00E26DFB">
      <w:pPr>
        <w:pStyle w:val="xmsonormal"/>
        <w:numPr>
          <w:ilvl w:val="2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4406">
        <w:rPr>
          <w:rFonts w:ascii="Times New Roman" w:eastAsia="Times New Roman" w:hAnsi="Times New Roman" w:cs="Times New Roman"/>
          <w:sz w:val="24"/>
          <w:szCs w:val="24"/>
        </w:rPr>
        <w:t>Allow</w:t>
      </w:r>
      <w:r w:rsidR="00E26DF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4406">
        <w:rPr>
          <w:rFonts w:ascii="Times New Roman" w:eastAsia="Times New Roman" w:hAnsi="Times New Roman" w:cs="Times New Roman"/>
          <w:sz w:val="24"/>
          <w:szCs w:val="24"/>
        </w:rPr>
        <w:t xml:space="preserve"> a preceptor to train up to four (4) administrators-in-training (</w:t>
      </w:r>
      <w:proofErr w:type="spellStart"/>
      <w:r w:rsidRPr="006E4406">
        <w:rPr>
          <w:rFonts w:ascii="Times New Roman" w:eastAsia="Times New Roman" w:hAnsi="Times New Roman" w:cs="Times New Roman"/>
          <w:sz w:val="24"/>
          <w:szCs w:val="24"/>
        </w:rPr>
        <w:t>AITs</w:t>
      </w:r>
      <w:proofErr w:type="spellEnd"/>
      <w:proofErr w:type="gramStart"/>
      <w:r w:rsidRPr="006E4406">
        <w:rPr>
          <w:rFonts w:ascii="Times New Roman" w:eastAsia="Times New Roman" w:hAnsi="Times New Roman" w:cs="Times New Roman"/>
          <w:sz w:val="24"/>
          <w:szCs w:val="24"/>
        </w:rPr>
        <w:t>), if</w:t>
      </w:r>
      <w:proofErr w:type="gramEnd"/>
      <w:r w:rsidRPr="006E4406">
        <w:rPr>
          <w:rFonts w:ascii="Times New Roman" w:eastAsia="Times New Roman" w:hAnsi="Times New Roman" w:cs="Times New Roman"/>
          <w:sz w:val="24"/>
          <w:szCs w:val="24"/>
        </w:rPr>
        <w:t xml:space="preserve"> the sole duty is to precept the </w:t>
      </w:r>
      <w:proofErr w:type="spellStart"/>
      <w:r w:rsidRPr="006E4406">
        <w:rPr>
          <w:rFonts w:ascii="Times New Roman" w:eastAsia="Times New Roman" w:hAnsi="Times New Roman" w:cs="Times New Roman"/>
          <w:sz w:val="24"/>
          <w:szCs w:val="24"/>
        </w:rPr>
        <w:t>AITs</w:t>
      </w:r>
      <w:proofErr w:type="spellEnd"/>
      <w:r w:rsidRPr="006E44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B08816" w14:textId="2CAD38D2" w:rsidR="00430C25" w:rsidRPr="006E4406" w:rsidRDefault="00430C25" w:rsidP="00E26DFB">
      <w:pPr>
        <w:pStyle w:val="xmsonormal"/>
        <w:numPr>
          <w:ilvl w:val="2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4406">
        <w:rPr>
          <w:rFonts w:ascii="Times New Roman" w:eastAsia="Times New Roman" w:hAnsi="Times New Roman" w:cs="Times New Roman"/>
          <w:sz w:val="24"/>
          <w:szCs w:val="24"/>
        </w:rPr>
        <w:t>Streamline</w:t>
      </w:r>
      <w:r w:rsidR="00E26DF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4406">
        <w:rPr>
          <w:rFonts w:ascii="Times New Roman" w:eastAsia="Times New Roman" w:hAnsi="Times New Roman" w:cs="Times New Roman"/>
          <w:sz w:val="24"/>
          <w:szCs w:val="24"/>
        </w:rPr>
        <w:t xml:space="preserve"> HFA testing application requirements.</w:t>
      </w:r>
    </w:p>
    <w:p w14:paraId="05619E05" w14:textId="18221846" w:rsidR="00430C25" w:rsidRPr="006E4406" w:rsidRDefault="00430C25" w:rsidP="00E26DFB">
      <w:pPr>
        <w:pStyle w:val="xmsonormal"/>
        <w:numPr>
          <w:ilvl w:val="2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4406">
        <w:rPr>
          <w:rFonts w:ascii="Times New Roman" w:eastAsia="Times New Roman" w:hAnsi="Times New Roman" w:cs="Times New Roman"/>
          <w:sz w:val="24"/>
          <w:szCs w:val="24"/>
        </w:rPr>
        <w:t>Simplif</w:t>
      </w:r>
      <w:r w:rsidR="00E26DFB"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6E4406">
        <w:rPr>
          <w:rFonts w:ascii="Times New Roman" w:eastAsia="Times New Roman" w:hAnsi="Times New Roman" w:cs="Times New Roman"/>
          <w:sz w:val="24"/>
          <w:szCs w:val="24"/>
        </w:rPr>
        <w:t xml:space="preserve"> reactivating inactive license requirements.</w:t>
      </w:r>
    </w:p>
    <w:p w14:paraId="1B7A625E" w14:textId="7A579ABC" w:rsidR="00430C25" w:rsidRPr="002A38C2" w:rsidRDefault="00430C25" w:rsidP="00430C25">
      <w:pPr>
        <w:pStyle w:val="xmsonormal"/>
        <w:numPr>
          <w:ilvl w:val="2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4406">
        <w:rPr>
          <w:rFonts w:ascii="Times New Roman" w:eastAsia="Times New Roman" w:hAnsi="Times New Roman" w:cs="Times New Roman"/>
          <w:sz w:val="24"/>
          <w:szCs w:val="24"/>
        </w:rPr>
        <w:t>Eliminate</w:t>
      </w:r>
      <w:r w:rsidR="00E26DF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6E4406">
        <w:rPr>
          <w:rFonts w:ascii="Times New Roman" w:eastAsia="Times New Roman" w:hAnsi="Times New Roman" w:cs="Times New Roman"/>
          <w:sz w:val="24"/>
          <w:szCs w:val="24"/>
        </w:rPr>
        <w:t>temporary HFA permit (redundant to provisional license)</w:t>
      </w:r>
      <w:r w:rsidR="00AD7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88DFC6" w14:textId="77777777" w:rsidR="00E26DFB" w:rsidRPr="0074225A" w:rsidRDefault="00777C7F" w:rsidP="00E26DFB">
      <w:pPr>
        <w:pStyle w:val="bill-item"/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hyperlink r:id="rId19" w:history="1">
        <w:r w:rsidR="00E26DFB" w:rsidRPr="0074225A">
          <w:rPr>
            <w:rStyle w:val="Strong"/>
            <w:rFonts w:ascii="Times New Roman" w:hAnsi="Times New Roman" w:cs="Times New Roman"/>
            <w:color w:val="005580"/>
            <w:sz w:val="28"/>
            <w:szCs w:val="28"/>
          </w:rPr>
          <w:t>SB 7</w:t>
        </w:r>
        <w:r w:rsidR="00E26DFB" w:rsidRPr="0074225A">
          <w:rPr>
            <w:rStyle w:val="Hyperlink"/>
            <w:rFonts w:ascii="Times New Roman" w:hAnsi="Times New Roman" w:cs="Times New Roman"/>
            <w:color w:val="005580"/>
            <w:sz w:val="28"/>
            <w:szCs w:val="28"/>
            <w:u w:val="none"/>
          </w:rPr>
          <w:t xml:space="preserve">: </w:t>
        </w:r>
        <w:r w:rsidR="00E26DFB" w:rsidRPr="0074225A">
          <w:rPr>
            <w:rStyle w:val="Hyperlink"/>
            <w:rFonts w:ascii="Times New Roman" w:hAnsi="Times New Roman" w:cs="Times New Roman"/>
            <w:b/>
            <w:bCs/>
            <w:color w:val="005580"/>
            <w:sz w:val="28"/>
            <w:szCs w:val="28"/>
            <w:u w:val="none"/>
          </w:rPr>
          <w:t>Physician noncompete agreements.</w:t>
        </w:r>
      </w:hyperlink>
    </w:p>
    <w:p w14:paraId="78706F46" w14:textId="10A4A15E" w:rsidR="0074225A" w:rsidRPr="0074225A" w:rsidRDefault="00430C25" w:rsidP="0074225A">
      <w:pPr>
        <w:pStyle w:val="ListParagraph"/>
        <w:numPr>
          <w:ilvl w:val="0"/>
          <w:numId w:val="17"/>
        </w:numPr>
        <w:ind w:left="720"/>
        <w:rPr>
          <w:rFonts w:ascii="Times New Roman" w:hAnsi="Times New Roman" w:cs="Times New Roman"/>
        </w:rPr>
      </w:pPr>
      <w:r w:rsidRPr="0074225A">
        <w:rPr>
          <w:rFonts w:ascii="Times New Roman" w:eastAsia="Times New Roman" w:hAnsi="Times New Roman" w:cs="Times New Roman"/>
          <w:color w:val="333333"/>
          <w:lang w:eastAsia="en-US"/>
        </w:rPr>
        <w:t xml:space="preserve">Provides </w:t>
      </w:r>
      <w:r w:rsidR="00AD7826">
        <w:rPr>
          <w:rFonts w:ascii="Times New Roman" w:eastAsia="Times New Roman" w:hAnsi="Times New Roman" w:cs="Times New Roman"/>
          <w:color w:val="333333"/>
          <w:lang w:eastAsia="en-US"/>
        </w:rPr>
        <w:t>(</w:t>
      </w:r>
      <w:r w:rsidRPr="0074225A">
        <w:rPr>
          <w:rFonts w:ascii="Times New Roman" w:eastAsia="Times New Roman" w:hAnsi="Times New Roman" w:cs="Times New Roman"/>
          <w:color w:val="333333"/>
          <w:lang w:eastAsia="en-US"/>
        </w:rPr>
        <w:t>beginning July 1, 2023</w:t>
      </w:r>
      <w:r w:rsidR="00AD7826">
        <w:rPr>
          <w:rFonts w:ascii="Times New Roman" w:eastAsia="Times New Roman" w:hAnsi="Times New Roman" w:cs="Times New Roman"/>
          <w:color w:val="333333"/>
          <w:lang w:eastAsia="en-US"/>
        </w:rPr>
        <w:t xml:space="preserve">) that </w:t>
      </w:r>
      <w:r w:rsidRPr="0074225A">
        <w:rPr>
          <w:rFonts w:ascii="Times New Roman" w:eastAsia="Times New Roman" w:hAnsi="Times New Roman" w:cs="Times New Roman"/>
          <w:color w:val="333333"/>
          <w:lang w:eastAsia="en-US"/>
        </w:rPr>
        <w:t xml:space="preserve">a primary care physician and an employer may not </w:t>
      </w:r>
      <w:proofErr w:type="gramStart"/>
      <w:r w:rsidRPr="0074225A">
        <w:rPr>
          <w:rFonts w:ascii="Times New Roman" w:eastAsia="Times New Roman" w:hAnsi="Times New Roman" w:cs="Times New Roman"/>
          <w:color w:val="333333"/>
          <w:lang w:eastAsia="en-US"/>
        </w:rPr>
        <w:t>enter into</w:t>
      </w:r>
      <w:proofErr w:type="gramEnd"/>
      <w:r w:rsidRPr="0074225A">
        <w:rPr>
          <w:rFonts w:ascii="Times New Roman" w:eastAsia="Times New Roman" w:hAnsi="Times New Roman" w:cs="Times New Roman"/>
          <w:color w:val="333333"/>
          <w:lang w:eastAsia="en-US"/>
        </w:rPr>
        <w:t xml:space="preserve"> a noncompete agreement</w:t>
      </w:r>
      <w:r w:rsidR="0074225A">
        <w:rPr>
          <w:rFonts w:ascii="Times New Roman" w:eastAsia="Times New Roman" w:hAnsi="Times New Roman" w:cs="Times New Roman"/>
          <w:color w:val="333333"/>
          <w:lang w:eastAsia="en-US"/>
        </w:rPr>
        <w:t xml:space="preserve">; </w:t>
      </w:r>
    </w:p>
    <w:p w14:paraId="5DD0EB0C" w14:textId="1A4D4701" w:rsidR="0074225A" w:rsidRPr="0074225A" w:rsidRDefault="00430C25" w:rsidP="0074225A">
      <w:pPr>
        <w:pStyle w:val="ListParagraph"/>
        <w:numPr>
          <w:ilvl w:val="0"/>
          <w:numId w:val="17"/>
        </w:numPr>
        <w:ind w:left="720"/>
        <w:rPr>
          <w:rFonts w:ascii="Times New Roman" w:hAnsi="Times New Roman" w:cs="Times New Roman"/>
        </w:rPr>
      </w:pPr>
      <w:r w:rsidRPr="0074225A">
        <w:rPr>
          <w:rFonts w:ascii="Times New Roman" w:eastAsia="Times New Roman" w:hAnsi="Times New Roman" w:cs="Times New Roman"/>
          <w:color w:val="333333"/>
          <w:lang w:eastAsia="en-US"/>
        </w:rPr>
        <w:t>Provides</w:t>
      </w:r>
      <w:r w:rsidR="00AD7826">
        <w:rPr>
          <w:rFonts w:ascii="Times New Roman" w:eastAsia="Times New Roman" w:hAnsi="Times New Roman" w:cs="Times New Roman"/>
          <w:color w:val="333333"/>
          <w:lang w:eastAsia="en-US"/>
        </w:rPr>
        <w:t xml:space="preserve"> (</w:t>
      </w:r>
      <w:r w:rsidRPr="0074225A">
        <w:rPr>
          <w:rFonts w:ascii="Times New Roman" w:eastAsia="Times New Roman" w:hAnsi="Times New Roman" w:cs="Times New Roman"/>
          <w:color w:val="333333"/>
          <w:lang w:eastAsia="en-US"/>
        </w:rPr>
        <w:t>beginning July 1, 2023</w:t>
      </w:r>
      <w:r w:rsidR="00AD7826">
        <w:rPr>
          <w:rFonts w:ascii="Times New Roman" w:eastAsia="Times New Roman" w:hAnsi="Times New Roman" w:cs="Times New Roman"/>
          <w:color w:val="333333"/>
          <w:lang w:eastAsia="en-US"/>
        </w:rPr>
        <w:t>) that a</w:t>
      </w:r>
      <w:r w:rsidRPr="0074225A">
        <w:rPr>
          <w:rFonts w:ascii="Times New Roman" w:eastAsia="Times New Roman" w:hAnsi="Times New Roman" w:cs="Times New Roman"/>
          <w:color w:val="333333"/>
          <w:lang w:eastAsia="en-US"/>
        </w:rPr>
        <w:t xml:space="preserve"> physician noncompete agreement is not enforceable if any of the following circumstances occur: (1) The employer terminates the physician's employment without cause. (2) The physician terminates the physician's employment for cause. (3) The physician's employment contract has </w:t>
      </w:r>
      <w:r w:rsidR="00AD7826" w:rsidRPr="0074225A">
        <w:rPr>
          <w:rFonts w:ascii="Times New Roman" w:eastAsia="Times New Roman" w:hAnsi="Times New Roman" w:cs="Times New Roman"/>
          <w:color w:val="333333"/>
          <w:lang w:eastAsia="en-US"/>
        </w:rPr>
        <w:t>expired,</w:t>
      </w:r>
      <w:r w:rsidRPr="0074225A">
        <w:rPr>
          <w:rFonts w:ascii="Times New Roman" w:eastAsia="Times New Roman" w:hAnsi="Times New Roman" w:cs="Times New Roman"/>
          <w:color w:val="333333"/>
          <w:lang w:eastAsia="en-US"/>
        </w:rPr>
        <w:t xml:space="preserve"> and the physician and employer have fulfilled the obligations of the contract</w:t>
      </w:r>
      <w:r w:rsidR="0074225A">
        <w:rPr>
          <w:rFonts w:ascii="Times New Roman" w:eastAsia="Times New Roman" w:hAnsi="Times New Roman" w:cs="Times New Roman"/>
          <w:color w:val="333333"/>
          <w:lang w:eastAsia="en-US"/>
        </w:rPr>
        <w:t xml:space="preserve">; </w:t>
      </w:r>
    </w:p>
    <w:p w14:paraId="03285665" w14:textId="185707BF" w:rsidR="00430C25" w:rsidRPr="0074225A" w:rsidRDefault="00430C25" w:rsidP="0074225A">
      <w:pPr>
        <w:pStyle w:val="ListParagraph"/>
        <w:numPr>
          <w:ilvl w:val="0"/>
          <w:numId w:val="17"/>
        </w:numPr>
        <w:ind w:left="720"/>
        <w:rPr>
          <w:rFonts w:ascii="Times New Roman" w:hAnsi="Times New Roman" w:cs="Times New Roman"/>
        </w:rPr>
      </w:pPr>
      <w:r w:rsidRPr="0074225A">
        <w:rPr>
          <w:rFonts w:ascii="Times New Roman" w:eastAsia="Times New Roman" w:hAnsi="Times New Roman" w:cs="Times New Roman"/>
          <w:color w:val="333333"/>
          <w:lang w:eastAsia="en-US"/>
        </w:rPr>
        <w:t>Specifies a process by which</w:t>
      </w:r>
      <w:r w:rsidRPr="0074225A">
        <w:rPr>
          <w:rFonts w:ascii="Times New Roman" w:hAnsi="Times New Roman" w:cs="Times New Roman"/>
        </w:rPr>
        <w:t xml:space="preserve"> a physician or employer may pursue mediation to determine a reasonable price to purchase a release from a noncompete agreement.</w:t>
      </w:r>
    </w:p>
    <w:p w14:paraId="302E2AB5" w14:textId="77777777" w:rsidR="0074225A" w:rsidRPr="0074225A" w:rsidRDefault="00777C7F" w:rsidP="0074225A">
      <w:pPr>
        <w:pStyle w:val="bill-item"/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hyperlink r:id="rId20" w:history="1">
        <w:r w:rsidR="0074225A" w:rsidRPr="0074225A">
          <w:rPr>
            <w:rStyle w:val="Strong"/>
            <w:rFonts w:ascii="Times New Roman" w:hAnsi="Times New Roman" w:cs="Times New Roman"/>
            <w:color w:val="005580"/>
            <w:sz w:val="28"/>
            <w:szCs w:val="28"/>
          </w:rPr>
          <w:t>SB 474</w:t>
        </w:r>
        <w:r w:rsidR="0074225A" w:rsidRPr="0074225A">
          <w:rPr>
            <w:rStyle w:val="Hyperlink"/>
            <w:rFonts w:ascii="Times New Roman" w:hAnsi="Times New Roman" w:cs="Times New Roman"/>
            <w:color w:val="005580"/>
            <w:sz w:val="28"/>
            <w:szCs w:val="28"/>
            <w:u w:val="none"/>
          </w:rPr>
          <w:t xml:space="preserve">: </w:t>
        </w:r>
        <w:r w:rsidR="0074225A" w:rsidRPr="0074225A">
          <w:rPr>
            <w:rStyle w:val="Hyperlink"/>
            <w:rFonts w:ascii="Times New Roman" w:hAnsi="Times New Roman" w:cs="Times New Roman"/>
            <w:b/>
            <w:bCs/>
            <w:color w:val="005580"/>
            <w:sz w:val="28"/>
            <w:szCs w:val="28"/>
            <w:u w:val="none"/>
          </w:rPr>
          <w:t>Home health agencies.</w:t>
        </w:r>
      </w:hyperlink>
    </w:p>
    <w:p w14:paraId="2FE574A5" w14:textId="77777777" w:rsidR="0074225A" w:rsidRPr="0074225A" w:rsidRDefault="00430C25" w:rsidP="0074225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515151"/>
        </w:rPr>
      </w:pPr>
      <w:r w:rsidRPr="0074225A">
        <w:rPr>
          <w:rFonts w:ascii="Times New Roman" w:hAnsi="Times New Roman" w:cs="Times New Roman"/>
        </w:rPr>
        <w:t xml:space="preserve">Allows a home health agency to: (1) provide services in any county in Indiana; and (2) satisfy supervising home health aide services requirements by complying with federal law. </w:t>
      </w:r>
    </w:p>
    <w:p w14:paraId="26DA999C" w14:textId="77777777" w:rsidR="0074225A" w:rsidRPr="0074225A" w:rsidRDefault="00430C25" w:rsidP="0074225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515151"/>
        </w:rPr>
      </w:pPr>
      <w:r w:rsidRPr="0074225A">
        <w:rPr>
          <w:rFonts w:ascii="Times New Roman" w:hAnsi="Times New Roman" w:cs="Times New Roman"/>
        </w:rPr>
        <w:t xml:space="preserve">Allows: (1) </w:t>
      </w:r>
      <w:r w:rsidR="0074225A">
        <w:rPr>
          <w:rFonts w:ascii="Times New Roman" w:hAnsi="Times New Roman" w:cs="Times New Roman"/>
        </w:rPr>
        <w:t xml:space="preserve">the IDOH </w:t>
      </w:r>
      <w:r w:rsidRPr="0074225A">
        <w:rPr>
          <w:rFonts w:ascii="Times New Roman" w:hAnsi="Times New Roman" w:cs="Times New Roman"/>
        </w:rPr>
        <w:t xml:space="preserve">to adopt rules concerning the oversight and supervision of the services a home health agency provides in noncontiguous counties; and (2) the state health commissioner to waive rules adopted concerning home health agencies if certain conditions are met. </w:t>
      </w:r>
    </w:p>
    <w:p w14:paraId="625D3331" w14:textId="77777777" w:rsidR="0074225A" w:rsidRPr="0074225A" w:rsidRDefault="00430C25" w:rsidP="0074225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515151"/>
        </w:rPr>
      </w:pPr>
      <w:r w:rsidRPr="0074225A">
        <w:rPr>
          <w:rFonts w:ascii="Times New Roman" w:hAnsi="Times New Roman" w:cs="Times New Roman"/>
        </w:rPr>
        <w:t xml:space="preserve">Provides that a home health agency is not required to conduct a preemployment physical on a job applicant before the individual has contact with a home health agency patient. </w:t>
      </w:r>
    </w:p>
    <w:p w14:paraId="0BC84CE3" w14:textId="77777777" w:rsidR="0074225A" w:rsidRPr="0074225A" w:rsidRDefault="00430C25" w:rsidP="0074225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color w:val="515151"/>
        </w:rPr>
      </w:pPr>
      <w:r w:rsidRPr="0074225A">
        <w:rPr>
          <w:rFonts w:ascii="Times New Roman" w:hAnsi="Times New Roman" w:cs="Times New Roman"/>
        </w:rPr>
        <w:t xml:space="preserve">Allows a registered home health aide to administer gastrointestinal and jejunostomy tube feedings to a specific patient if specified conditions are met. Requires the state department to approve at least one training curriculum concerning the administration of tube feedings. </w:t>
      </w:r>
    </w:p>
    <w:p w14:paraId="448669D3" w14:textId="0A2610AB" w:rsidR="00430C25" w:rsidRPr="006E4406" w:rsidRDefault="00430C25" w:rsidP="00F91F7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225A">
        <w:rPr>
          <w:rFonts w:ascii="Times New Roman" w:hAnsi="Times New Roman" w:cs="Times New Roman"/>
        </w:rPr>
        <w:t>Repeals laws concerning drug testing of home health agency employees.</w:t>
      </w:r>
      <w:r w:rsidRPr="0074225A">
        <w:rPr>
          <w:rFonts w:ascii="Times New Roman" w:hAnsi="Times New Roman" w:cs="Times New Roman"/>
          <w:color w:val="515151"/>
        </w:rPr>
        <w:br/>
      </w:r>
      <w:r w:rsidRPr="0074225A">
        <w:rPr>
          <w:rFonts w:ascii="Times New Roman" w:hAnsi="Times New Roman" w:cs="Times New Roman"/>
          <w:color w:val="515151"/>
        </w:rPr>
        <w:br/>
      </w:r>
    </w:p>
    <w:p w14:paraId="3E28E07A" w14:textId="78143CDA" w:rsidR="007B7272" w:rsidRPr="006E4406" w:rsidRDefault="007B7272" w:rsidP="00430C25">
      <w:pPr>
        <w:rPr>
          <w:rFonts w:ascii="Times New Roman" w:eastAsia="Times New Roman" w:hAnsi="Times New Roman" w:cs="Times New Roman"/>
          <w:color w:val="212121"/>
        </w:rPr>
      </w:pPr>
    </w:p>
    <w:sectPr w:rsidR="007B7272" w:rsidRPr="006E4406" w:rsidSect="00157F7B">
      <w:footerReference w:type="default" r:id="rId2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90326" w14:textId="77777777" w:rsidR="00456895" w:rsidRDefault="00456895" w:rsidP="00157F7B">
      <w:r>
        <w:separator/>
      </w:r>
    </w:p>
  </w:endnote>
  <w:endnote w:type="continuationSeparator" w:id="0">
    <w:p w14:paraId="39A38E05" w14:textId="77777777" w:rsidR="00456895" w:rsidRDefault="00456895" w:rsidP="0015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BF36" w14:textId="53BCAC53" w:rsidR="00896CCF" w:rsidRPr="00157F7B" w:rsidRDefault="00896CCF" w:rsidP="00896CC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4B40A" w14:textId="77777777" w:rsidR="00456895" w:rsidRDefault="00456895" w:rsidP="00157F7B">
      <w:r>
        <w:separator/>
      </w:r>
    </w:p>
  </w:footnote>
  <w:footnote w:type="continuationSeparator" w:id="0">
    <w:p w14:paraId="08802AA8" w14:textId="77777777" w:rsidR="00456895" w:rsidRDefault="00456895" w:rsidP="00157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1A28"/>
    <w:multiLevelType w:val="multilevel"/>
    <w:tmpl w:val="6810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903D0"/>
    <w:multiLevelType w:val="hybridMultilevel"/>
    <w:tmpl w:val="C1E6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6242B6"/>
    <w:multiLevelType w:val="hybridMultilevel"/>
    <w:tmpl w:val="0EB2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A1E55"/>
    <w:multiLevelType w:val="multilevel"/>
    <w:tmpl w:val="C20E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6E470C"/>
    <w:multiLevelType w:val="hybridMultilevel"/>
    <w:tmpl w:val="BF825C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192907"/>
    <w:multiLevelType w:val="hybridMultilevel"/>
    <w:tmpl w:val="3858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29FABB"/>
    <w:multiLevelType w:val="hybridMultilevel"/>
    <w:tmpl w:val="FFFFFFFF"/>
    <w:lvl w:ilvl="0" w:tplc="1052873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A7FC1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F5CB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C6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4BC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02CB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6F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A6D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CD8F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6942"/>
    <w:multiLevelType w:val="hybridMultilevel"/>
    <w:tmpl w:val="B1C694E2"/>
    <w:lvl w:ilvl="0" w:tplc="2332A35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392D4C"/>
    <w:multiLevelType w:val="multilevel"/>
    <w:tmpl w:val="0FA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2E36C6"/>
    <w:multiLevelType w:val="hybridMultilevel"/>
    <w:tmpl w:val="EAD8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F818F1"/>
    <w:multiLevelType w:val="hybridMultilevel"/>
    <w:tmpl w:val="F634DC0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C7450"/>
    <w:multiLevelType w:val="multilevel"/>
    <w:tmpl w:val="D4C6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11B07"/>
    <w:multiLevelType w:val="multilevel"/>
    <w:tmpl w:val="399A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A151F7"/>
    <w:multiLevelType w:val="multilevel"/>
    <w:tmpl w:val="710C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215B8"/>
    <w:multiLevelType w:val="multilevel"/>
    <w:tmpl w:val="C9EE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982515"/>
    <w:multiLevelType w:val="multilevel"/>
    <w:tmpl w:val="B382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429D9"/>
    <w:multiLevelType w:val="hybridMultilevel"/>
    <w:tmpl w:val="8D929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084B60"/>
    <w:multiLevelType w:val="hybridMultilevel"/>
    <w:tmpl w:val="E35E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85F37E3"/>
    <w:multiLevelType w:val="multilevel"/>
    <w:tmpl w:val="8928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B0791"/>
    <w:multiLevelType w:val="multilevel"/>
    <w:tmpl w:val="DD9E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6B2E9D"/>
    <w:multiLevelType w:val="multilevel"/>
    <w:tmpl w:val="E60E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166480"/>
    <w:multiLevelType w:val="hybridMultilevel"/>
    <w:tmpl w:val="C060C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A163C8"/>
    <w:multiLevelType w:val="hybridMultilevel"/>
    <w:tmpl w:val="51BE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70AAC"/>
    <w:multiLevelType w:val="hybridMultilevel"/>
    <w:tmpl w:val="5250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771ADE"/>
    <w:multiLevelType w:val="hybridMultilevel"/>
    <w:tmpl w:val="98C0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E867B31"/>
    <w:multiLevelType w:val="hybridMultilevel"/>
    <w:tmpl w:val="DC9ABAD2"/>
    <w:lvl w:ilvl="0" w:tplc="050A8A8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400F64"/>
    <w:multiLevelType w:val="hybridMultilevel"/>
    <w:tmpl w:val="662C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C669C5"/>
    <w:multiLevelType w:val="hybridMultilevel"/>
    <w:tmpl w:val="E494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51C8D"/>
    <w:multiLevelType w:val="hybridMultilevel"/>
    <w:tmpl w:val="339C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040B53"/>
    <w:multiLevelType w:val="multilevel"/>
    <w:tmpl w:val="26FE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97183D"/>
    <w:multiLevelType w:val="hybridMultilevel"/>
    <w:tmpl w:val="1294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2"/>
  </w:num>
  <w:num w:numId="3">
    <w:abstractNumId w:val="24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21"/>
  </w:num>
  <w:num w:numId="10">
    <w:abstractNumId w:val="4"/>
  </w:num>
  <w:num w:numId="11">
    <w:abstractNumId w:val="2"/>
  </w:num>
  <w:num w:numId="12">
    <w:abstractNumId w:val="26"/>
  </w:num>
  <w:num w:numId="13">
    <w:abstractNumId w:val="12"/>
  </w:num>
  <w:num w:numId="14">
    <w:abstractNumId w:val="29"/>
  </w:num>
  <w:num w:numId="15">
    <w:abstractNumId w:val="5"/>
  </w:num>
  <w:num w:numId="16">
    <w:abstractNumId w:val="23"/>
  </w:num>
  <w:num w:numId="17">
    <w:abstractNumId w:val="16"/>
  </w:num>
  <w:num w:numId="18">
    <w:abstractNumId w:val="6"/>
  </w:num>
  <w:num w:numId="19">
    <w:abstractNumId w:val="10"/>
  </w:num>
  <w:num w:numId="20">
    <w:abstractNumId w:val="13"/>
  </w:num>
  <w:num w:numId="21">
    <w:abstractNumId w:val="14"/>
  </w:num>
  <w:num w:numId="22">
    <w:abstractNumId w:val="28"/>
  </w:num>
  <w:num w:numId="23">
    <w:abstractNumId w:val="0"/>
  </w:num>
  <w:num w:numId="24">
    <w:abstractNumId w:val="1"/>
  </w:num>
  <w:num w:numId="25">
    <w:abstractNumId w:val="15"/>
  </w:num>
  <w:num w:numId="26">
    <w:abstractNumId w:val="20"/>
  </w:num>
  <w:num w:numId="27">
    <w:abstractNumId w:val="8"/>
  </w:num>
  <w:num w:numId="28">
    <w:abstractNumId w:val="9"/>
  </w:num>
  <w:num w:numId="29">
    <w:abstractNumId w:val="18"/>
  </w:num>
  <w:num w:numId="30">
    <w:abstractNumId w:val="19"/>
  </w:num>
  <w:num w:numId="31">
    <w:abstractNumId w:val="1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D7"/>
    <w:rsid w:val="00002C79"/>
    <w:rsid w:val="00013B83"/>
    <w:rsid w:val="00014981"/>
    <w:rsid w:val="00015934"/>
    <w:rsid w:val="00081BE6"/>
    <w:rsid w:val="000846B4"/>
    <w:rsid w:val="000B11FC"/>
    <w:rsid w:val="000B393D"/>
    <w:rsid w:val="000D07A7"/>
    <w:rsid w:val="001071CF"/>
    <w:rsid w:val="001106D0"/>
    <w:rsid w:val="00157F7B"/>
    <w:rsid w:val="001845DD"/>
    <w:rsid w:val="00186D46"/>
    <w:rsid w:val="001A5E29"/>
    <w:rsid w:val="00211F49"/>
    <w:rsid w:val="002137EA"/>
    <w:rsid w:val="00243BF4"/>
    <w:rsid w:val="00251730"/>
    <w:rsid w:val="00272F08"/>
    <w:rsid w:val="002A38C2"/>
    <w:rsid w:val="002F7B76"/>
    <w:rsid w:val="003274DF"/>
    <w:rsid w:val="00333DA4"/>
    <w:rsid w:val="0033450E"/>
    <w:rsid w:val="00385543"/>
    <w:rsid w:val="003F3EFC"/>
    <w:rsid w:val="003F67A6"/>
    <w:rsid w:val="00405E99"/>
    <w:rsid w:val="004069C2"/>
    <w:rsid w:val="00430C25"/>
    <w:rsid w:val="00456895"/>
    <w:rsid w:val="0047168B"/>
    <w:rsid w:val="004C505B"/>
    <w:rsid w:val="004D06EB"/>
    <w:rsid w:val="004E1349"/>
    <w:rsid w:val="00517F9E"/>
    <w:rsid w:val="00530373"/>
    <w:rsid w:val="00584E69"/>
    <w:rsid w:val="005A2A3F"/>
    <w:rsid w:val="005E1B2D"/>
    <w:rsid w:val="005F2C64"/>
    <w:rsid w:val="005F6359"/>
    <w:rsid w:val="00641054"/>
    <w:rsid w:val="00665D68"/>
    <w:rsid w:val="00667B2E"/>
    <w:rsid w:val="006744F0"/>
    <w:rsid w:val="00692477"/>
    <w:rsid w:val="006B2D0A"/>
    <w:rsid w:val="006B3498"/>
    <w:rsid w:val="006B5473"/>
    <w:rsid w:val="006E4406"/>
    <w:rsid w:val="0074225A"/>
    <w:rsid w:val="00753B7B"/>
    <w:rsid w:val="00754DD2"/>
    <w:rsid w:val="00777C7F"/>
    <w:rsid w:val="00785568"/>
    <w:rsid w:val="007A67A2"/>
    <w:rsid w:val="007B7272"/>
    <w:rsid w:val="007D28E9"/>
    <w:rsid w:val="007D61F4"/>
    <w:rsid w:val="007E4C74"/>
    <w:rsid w:val="008068E1"/>
    <w:rsid w:val="00812A3A"/>
    <w:rsid w:val="00823B8E"/>
    <w:rsid w:val="0083674F"/>
    <w:rsid w:val="00853D03"/>
    <w:rsid w:val="00854276"/>
    <w:rsid w:val="00860ACA"/>
    <w:rsid w:val="0088499D"/>
    <w:rsid w:val="00896CCF"/>
    <w:rsid w:val="008A6453"/>
    <w:rsid w:val="008B673F"/>
    <w:rsid w:val="00920E0F"/>
    <w:rsid w:val="009231EB"/>
    <w:rsid w:val="00947C4A"/>
    <w:rsid w:val="00951655"/>
    <w:rsid w:val="00970469"/>
    <w:rsid w:val="00987EA7"/>
    <w:rsid w:val="009C7FB7"/>
    <w:rsid w:val="009E5901"/>
    <w:rsid w:val="009F43DC"/>
    <w:rsid w:val="00A022BF"/>
    <w:rsid w:val="00A26279"/>
    <w:rsid w:val="00A410C2"/>
    <w:rsid w:val="00A56BFA"/>
    <w:rsid w:val="00A70CEE"/>
    <w:rsid w:val="00A86495"/>
    <w:rsid w:val="00AD7826"/>
    <w:rsid w:val="00AD7AA7"/>
    <w:rsid w:val="00AF469F"/>
    <w:rsid w:val="00B0031F"/>
    <w:rsid w:val="00B51400"/>
    <w:rsid w:val="00B72EF6"/>
    <w:rsid w:val="00C03580"/>
    <w:rsid w:val="00C250B2"/>
    <w:rsid w:val="00C91B14"/>
    <w:rsid w:val="00CB11E4"/>
    <w:rsid w:val="00CE3CCD"/>
    <w:rsid w:val="00CE7E03"/>
    <w:rsid w:val="00CF4EFB"/>
    <w:rsid w:val="00D169EB"/>
    <w:rsid w:val="00D760BE"/>
    <w:rsid w:val="00DB23E2"/>
    <w:rsid w:val="00DD1F56"/>
    <w:rsid w:val="00DD2049"/>
    <w:rsid w:val="00DE4D1E"/>
    <w:rsid w:val="00E1043F"/>
    <w:rsid w:val="00E26DFB"/>
    <w:rsid w:val="00E400E1"/>
    <w:rsid w:val="00E6228C"/>
    <w:rsid w:val="00EB355A"/>
    <w:rsid w:val="00EC12C9"/>
    <w:rsid w:val="00F854C7"/>
    <w:rsid w:val="00FA55E0"/>
    <w:rsid w:val="00FD0BA0"/>
    <w:rsid w:val="00FD5264"/>
    <w:rsid w:val="00FE0DF5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47D443"/>
  <w15:chartTrackingRefBased/>
  <w15:docId w15:val="{408C86BD-3CF0-CF49-A672-E2175DF6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7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2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B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BFA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57F7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57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F7B"/>
  </w:style>
  <w:style w:type="paragraph" w:styleId="Footer">
    <w:name w:val="footer"/>
    <w:basedOn w:val="Normal"/>
    <w:link w:val="FooterChar"/>
    <w:uiPriority w:val="99"/>
    <w:unhideWhenUsed/>
    <w:rsid w:val="00157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F7B"/>
  </w:style>
  <w:style w:type="paragraph" w:styleId="Quote">
    <w:name w:val="Quote"/>
    <w:basedOn w:val="Normal"/>
    <w:next w:val="Normal"/>
    <w:link w:val="QuoteChar"/>
    <w:uiPriority w:val="29"/>
    <w:qFormat/>
    <w:rsid w:val="00896CCF"/>
    <w:pPr>
      <w:spacing w:before="200" w:after="160" w:line="259" w:lineRule="auto"/>
      <w:ind w:left="864" w:right="864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96CCF"/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AD7AA7"/>
  </w:style>
  <w:style w:type="paragraph" w:styleId="NormalWeb">
    <w:name w:val="Normal (Web)"/>
    <w:basedOn w:val="Normal"/>
    <w:uiPriority w:val="99"/>
    <w:semiHidden/>
    <w:unhideWhenUsed/>
    <w:rsid w:val="00AD7A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7A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35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30C25"/>
    <w:rPr>
      <w:b/>
      <w:bCs/>
    </w:rPr>
  </w:style>
  <w:style w:type="paragraph" w:customStyle="1" w:styleId="bill-item">
    <w:name w:val="bill-item"/>
    <w:basedOn w:val="Normal"/>
    <w:rsid w:val="00430C2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430C25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88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7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9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6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1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1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4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7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3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3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a.in.gov/static-documents/2/6/9/a/269ae978/HB1461.06.ENRS.pdf" TargetMode="External"/><Relationship Id="rId13" Type="http://schemas.openxmlformats.org/officeDocument/2006/relationships/hyperlink" Target="https://www.indianahouserepublicans.com/clientuploads/2023/CCR__5/FY24-25_Budget_-_Overview_of_HB_1001_-_CCR05.pdf?_t=1682634895" TargetMode="External"/><Relationship Id="rId18" Type="http://schemas.openxmlformats.org/officeDocument/2006/relationships/hyperlink" Target="https://iga.in.gov/legislative/2023/bills/house/146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iga.in.gov/legislative/2023/bills/house/1001" TargetMode="External"/><Relationship Id="rId17" Type="http://schemas.openxmlformats.org/officeDocument/2006/relationships/hyperlink" Target="file:///H:\Leading%20Age%20-%20Summary%20of%20Section%20222%20of%20HEA%201454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iga.in.gov/legislative/2023/bills/house/1454" TargetMode="External"/><Relationship Id="rId20" Type="http://schemas.openxmlformats.org/officeDocument/2006/relationships/hyperlink" Target="https://iga.in.gov/legislative/2023/bills/senate/4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ga.in.gov/legislative/2023/bill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ga.in.gov/legislative/2023/bills/house/1422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H:\Week%2017%20Bill%20Tracker%20-%20LeadingAge.pdf" TargetMode="External"/><Relationship Id="rId19" Type="http://schemas.openxmlformats.org/officeDocument/2006/relationships/hyperlink" Target="https://iga.in.gov/legislative/2023/bills/senate/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ga.in.gov/static-documents/b/b/0/e/bb0edb6b/HB1454.05.ENRS.pdf" TargetMode="External"/><Relationship Id="rId14" Type="http://schemas.openxmlformats.org/officeDocument/2006/relationships/hyperlink" Target="https://iga.in.gov/legislative/2023/bills/house/13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Geralyn Magan</dc:creator>
  <cp:keywords/>
  <dc:description/>
  <cp:lastModifiedBy>Eric Essley</cp:lastModifiedBy>
  <cp:revision>3</cp:revision>
  <cp:lastPrinted>2020-04-24T15:28:00Z</cp:lastPrinted>
  <dcterms:created xsi:type="dcterms:W3CDTF">2023-06-15T15:49:00Z</dcterms:created>
  <dcterms:modified xsi:type="dcterms:W3CDTF">2023-06-15T18:13:00Z</dcterms:modified>
</cp:coreProperties>
</file>