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4B3" w:rsidRDefault="00141E2A">
      <w:pPr>
        <w:pStyle w:val="Heading1"/>
        <w:rPr>
          <w:sz w:val="28"/>
        </w:rPr>
      </w:pPr>
      <w:r>
        <w:rPr>
          <w:noProof/>
          <w:sz w:val="28"/>
        </w:rPr>
        <mc:AlternateContent>
          <mc:Choice Requires="wps">
            <w:drawing>
              <wp:anchor distT="0" distB="0" distL="114300" distR="114300" simplePos="0" relativeHeight="251657728" behindDoc="0" locked="0" layoutInCell="1" allowOverlap="1">
                <wp:simplePos x="0" y="0"/>
                <wp:positionH relativeFrom="column">
                  <wp:posOffset>-177165</wp:posOffset>
                </wp:positionH>
                <wp:positionV relativeFrom="paragraph">
                  <wp:posOffset>-66040</wp:posOffset>
                </wp:positionV>
                <wp:extent cx="2487295" cy="189992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7295" cy="1899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74B3" w:rsidRDefault="00141E2A">
                            <w:r>
                              <w:rPr>
                                <w:noProof/>
                              </w:rPr>
                              <w:drawing>
                                <wp:inline distT="0" distB="0" distL="0" distR="0">
                                  <wp:extent cx="2298700" cy="1803400"/>
                                  <wp:effectExtent l="0" t="0" r="6350" b="6350"/>
                                  <wp:docPr id="1" name="Picture 1" descr="final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98700" cy="18034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13.95pt;margin-top:-5.2pt;width:195.85pt;height:149.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" stroked="f">
                <v:textbox>
                  <w:txbxContent>
                    <w:p w:rsidR="00BF74B3" w:rsidRDefault="00141E2A">
                      <w:r>
                        <w:rPr>
                          <w:noProof/>
                        </w:rPr>
                        <w:drawing>
                          <wp:inline distT="0" distB="0" distL="0" distR="0">
                            <wp:extent cx="2298700" cy="1803400"/>
                            <wp:effectExtent l="0" t="0" r="6350" b="6350"/>
                            <wp:docPr id="1" name="Picture 1" descr="final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98700" cy="1803400"/>
                                    </a:xfrm>
                                    <a:prstGeom prst="rect">
                                      <a:avLst/>
                                    </a:prstGeom>
                                    <a:noFill/>
                                    <a:ln>
                                      <a:noFill/>
                                    </a:ln>
                                  </pic:spPr>
                                </pic:pic>
                              </a:graphicData>
                            </a:graphic>
                          </wp:inline>
                        </w:drawing>
                      </w:r>
                    </w:p>
                  </w:txbxContent>
                </v:textbox>
              </v:shape>
            </w:pict>
          </mc:Fallback>
        </mc:AlternateContent>
      </w:r>
      <w:r w:rsidR="00BF74B3">
        <w:rPr>
          <w:sz w:val="28"/>
        </w:rPr>
        <w:t>National Career Development Association</w:t>
      </w:r>
    </w:p>
    <w:p w:rsidR="00BF74B3" w:rsidRDefault="00BF74B3">
      <w:pPr>
        <w:jc w:val="right"/>
        <w:rPr>
          <w:rFonts w:ascii="Arial" w:hAnsi="Arial"/>
          <w:i/>
          <w:iCs/>
          <w:sz w:val="24"/>
        </w:rPr>
      </w:pPr>
      <w:smartTag w:uri="urn:schemas-microsoft-com:office:smarttags" w:element="Street">
        <w:smartTag w:uri="urn:schemas-microsoft-com:office:smarttags" w:element="address">
          <w:r>
            <w:rPr>
              <w:rFonts w:ascii="Arial" w:hAnsi="Arial"/>
              <w:i/>
              <w:iCs/>
              <w:sz w:val="24"/>
            </w:rPr>
            <w:t>305 N. Beech Circle</w:t>
          </w:r>
        </w:smartTag>
      </w:smartTag>
    </w:p>
    <w:p w:rsidR="00BF74B3" w:rsidRDefault="00BF74B3">
      <w:pPr>
        <w:jc w:val="right"/>
        <w:rPr>
          <w:rFonts w:ascii="Arial" w:hAnsi="Arial"/>
          <w:i/>
          <w:iCs/>
          <w:sz w:val="24"/>
        </w:rPr>
      </w:pPr>
      <w:smartTag w:uri="urn:schemas-microsoft-com:office:smarttags" w:element="place">
        <w:smartTag w:uri="urn:schemas-microsoft-com:office:smarttags" w:element="City">
          <w:r>
            <w:rPr>
              <w:rFonts w:ascii="Arial" w:hAnsi="Arial"/>
              <w:i/>
              <w:iCs/>
              <w:sz w:val="24"/>
            </w:rPr>
            <w:t>Broken Arrow</w:t>
          </w:r>
        </w:smartTag>
        <w:r>
          <w:rPr>
            <w:rFonts w:ascii="Arial" w:hAnsi="Arial"/>
            <w:i/>
            <w:iCs/>
            <w:sz w:val="24"/>
          </w:rPr>
          <w:t xml:space="preserve">, </w:t>
        </w:r>
        <w:smartTag w:uri="urn:schemas-microsoft-com:office:smarttags" w:element="State">
          <w:r>
            <w:rPr>
              <w:rFonts w:ascii="Arial" w:hAnsi="Arial"/>
              <w:i/>
              <w:iCs/>
              <w:sz w:val="24"/>
            </w:rPr>
            <w:t>OK</w:t>
          </w:r>
        </w:smartTag>
        <w:r>
          <w:rPr>
            <w:rFonts w:ascii="Arial" w:hAnsi="Arial"/>
            <w:i/>
            <w:iCs/>
            <w:sz w:val="24"/>
          </w:rPr>
          <w:t xml:space="preserve"> </w:t>
        </w:r>
        <w:smartTag w:uri="urn:schemas-microsoft-com:office:smarttags" w:element="PostalCode">
          <w:r>
            <w:rPr>
              <w:rFonts w:ascii="Arial" w:hAnsi="Arial"/>
              <w:i/>
              <w:iCs/>
              <w:sz w:val="24"/>
            </w:rPr>
            <w:t>74012</w:t>
          </w:r>
        </w:smartTag>
      </w:smartTag>
    </w:p>
    <w:p w:rsidR="00BF74B3" w:rsidRDefault="00BF74B3">
      <w:pPr>
        <w:jc w:val="right"/>
        <w:rPr>
          <w:rFonts w:ascii="Arial" w:hAnsi="Arial"/>
          <w:i/>
          <w:iCs/>
          <w:sz w:val="24"/>
        </w:rPr>
      </w:pPr>
      <w:r>
        <w:rPr>
          <w:rFonts w:ascii="Arial" w:hAnsi="Arial"/>
          <w:i/>
          <w:iCs/>
          <w:sz w:val="24"/>
        </w:rPr>
        <w:t>918/663-7060</w:t>
      </w:r>
    </w:p>
    <w:p w:rsidR="00BF74B3" w:rsidRDefault="00BF74B3">
      <w:pPr>
        <w:jc w:val="right"/>
        <w:rPr>
          <w:rFonts w:ascii="Arial" w:hAnsi="Arial"/>
          <w:i/>
          <w:iCs/>
          <w:sz w:val="24"/>
        </w:rPr>
      </w:pPr>
      <w:r>
        <w:rPr>
          <w:rFonts w:ascii="Arial" w:hAnsi="Arial"/>
          <w:i/>
          <w:iCs/>
          <w:sz w:val="24"/>
        </w:rPr>
        <w:t>Fax: 918/663-7058</w:t>
      </w:r>
    </w:p>
    <w:p w:rsidR="00BF74B3" w:rsidRDefault="00BF74B3">
      <w:pPr>
        <w:jc w:val="right"/>
        <w:rPr>
          <w:rFonts w:ascii="Arial" w:hAnsi="Arial"/>
          <w:i/>
          <w:iCs/>
          <w:sz w:val="24"/>
        </w:rPr>
      </w:pPr>
      <w:r>
        <w:rPr>
          <w:rFonts w:ascii="Arial" w:hAnsi="Arial"/>
          <w:i/>
          <w:iCs/>
          <w:sz w:val="24"/>
        </w:rPr>
        <w:t>www.ncda.org</w:t>
      </w:r>
    </w:p>
    <w:p w:rsidR="00BF74B3" w:rsidRDefault="00BF74B3">
      <w:pPr>
        <w:rPr>
          <w:rFonts w:ascii="Arial" w:hAnsi="Arial"/>
          <w:sz w:val="24"/>
        </w:rPr>
      </w:pPr>
    </w:p>
    <w:p w:rsidR="00BF74B3" w:rsidRDefault="00BF74B3">
      <w:pPr>
        <w:rPr>
          <w:rFonts w:ascii="Arial" w:hAnsi="Arial"/>
          <w:sz w:val="24"/>
        </w:rPr>
      </w:pPr>
    </w:p>
    <w:p w:rsidR="00BF74B3" w:rsidRDefault="00BF74B3">
      <w:pPr>
        <w:rPr>
          <w:rFonts w:ascii="Arial" w:hAnsi="Arial"/>
          <w:b/>
          <w:sz w:val="24"/>
          <w:u w:val="single"/>
        </w:rPr>
      </w:pPr>
    </w:p>
    <w:p w:rsidR="00BF74B3" w:rsidRDefault="00BF74B3">
      <w:pPr>
        <w:pStyle w:val="BodyText2"/>
      </w:pPr>
    </w:p>
    <w:p w:rsidR="00BF74B3" w:rsidRDefault="00BF74B3">
      <w:pPr>
        <w:pStyle w:val="BodyText2"/>
      </w:pPr>
    </w:p>
    <w:p w:rsidR="001A1452" w:rsidRPr="00D36DEC" w:rsidRDefault="001A1452" w:rsidP="001A1452">
      <w:pPr>
        <w:pStyle w:val="NoSpacing"/>
        <w:rPr>
          <w:b/>
        </w:rPr>
      </w:pPr>
      <w:r w:rsidRPr="00D36DEC">
        <w:rPr>
          <w:b/>
        </w:rPr>
        <w:t>National Career Development Association</w:t>
      </w:r>
    </w:p>
    <w:p w:rsidR="001A1452" w:rsidRPr="00D36DEC" w:rsidRDefault="001A1452" w:rsidP="001A1452">
      <w:pPr>
        <w:pStyle w:val="NoSpacing"/>
        <w:rPr>
          <w:b/>
        </w:rPr>
      </w:pPr>
      <w:smartTag w:uri="urn:schemas-microsoft-com:office:smarttags" w:element="place">
        <w:smartTag w:uri="urn:schemas-microsoft-com:office:smarttags" w:element="PlaceName">
          <w:r w:rsidRPr="00D36DEC">
            <w:rPr>
              <w:b/>
            </w:rPr>
            <w:t>Leadership</w:t>
          </w:r>
        </w:smartTag>
        <w:r w:rsidRPr="00D36DEC">
          <w:rPr>
            <w:b/>
          </w:rPr>
          <w:t xml:space="preserve"> </w:t>
        </w:r>
        <w:smartTag w:uri="urn:schemas-microsoft-com:office:smarttags" w:element="PlaceType">
          <w:r w:rsidRPr="00D36DEC">
            <w:rPr>
              <w:b/>
            </w:rPr>
            <w:t>Academy</w:t>
          </w:r>
        </w:smartTag>
      </w:smartTag>
    </w:p>
    <w:p w:rsidR="001A1452" w:rsidRPr="00D36DEC" w:rsidRDefault="001A1452" w:rsidP="001A1452">
      <w:pPr>
        <w:pStyle w:val="NoSpacing"/>
        <w:pBdr>
          <w:bottom w:val="single" w:sz="12" w:space="1" w:color="auto"/>
        </w:pBdr>
        <w:rPr>
          <w:b/>
        </w:rPr>
      </w:pPr>
      <w:r w:rsidRPr="00D36DEC">
        <w:rPr>
          <w:b/>
        </w:rPr>
        <w:t>Project Summary</w:t>
      </w:r>
    </w:p>
    <w:p w:rsidR="00D36DEC" w:rsidRDefault="00D36DEC" w:rsidP="001A1452">
      <w:pPr>
        <w:pStyle w:val="NoSpacing"/>
      </w:pPr>
    </w:p>
    <w:p w:rsidR="00D36DEC" w:rsidRDefault="00E66893" w:rsidP="001A1452">
      <w:pPr>
        <w:pStyle w:val="NoSpacing"/>
      </w:pPr>
      <w:r>
        <w:rPr>
          <w:b/>
        </w:rPr>
        <w:t>Participant</w:t>
      </w:r>
      <w:r w:rsidR="001A1452" w:rsidRPr="00D36DEC">
        <w:rPr>
          <w:b/>
        </w:rPr>
        <w:t>(s)</w:t>
      </w:r>
      <w:r>
        <w:rPr>
          <w:b/>
        </w:rPr>
        <w:t>:</w:t>
      </w:r>
      <w:r>
        <w:tab/>
      </w:r>
      <w:r w:rsidR="00141E2A">
        <w:t>Kevin A. Tate</w:t>
      </w:r>
    </w:p>
    <w:p w:rsidR="00141E2A" w:rsidRDefault="00141E2A" w:rsidP="001A1452">
      <w:pPr>
        <w:pStyle w:val="NoSpacing"/>
      </w:pPr>
    </w:p>
    <w:p w:rsidR="00E66893" w:rsidRDefault="00E66893" w:rsidP="001A1452">
      <w:pPr>
        <w:pStyle w:val="NoSpacing"/>
      </w:pPr>
      <w:r>
        <w:rPr>
          <w:b/>
        </w:rPr>
        <w:t>Board Mentor</w:t>
      </w:r>
      <w:r w:rsidRPr="00D36DEC">
        <w:rPr>
          <w:b/>
        </w:rPr>
        <w:t>:</w:t>
      </w:r>
      <w:r>
        <w:tab/>
      </w:r>
      <w:r w:rsidR="00141E2A">
        <w:t xml:space="preserve">David </w:t>
      </w:r>
      <w:proofErr w:type="spellStart"/>
      <w:r w:rsidR="00141E2A">
        <w:t>Blustein</w:t>
      </w:r>
      <w:proofErr w:type="spellEnd"/>
    </w:p>
    <w:p w:rsidR="00BA79D0" w:rsidRDefault="00BA79D0" w:rsidP="001A1452">
      <w:pPr>
        <w:pStyle w:val="NoSpacing"/>
      </w:pPr>
    </w:p>
    <w:p w:rsidR="001A1452" w:rsidRDefault="001A1452" w:rsidP="001A1452">
      <w:pPr>
        <w:pStyle w:val="NoSpacing"/>
      </w:pPr>
      <w:r w:rsidRPr="00D36DEC">
        <w:rPr>
          <w:b/>
        </w:rPr>
        <w:t>Leadership Academy Class:</w:t>
      </w:r>
      <w:r>
        <w:tab/>
      </w:r>
      <w:r w:rsidR="00D36DEC">
        <w:t>LA</w:t>
      </w:r>
      <w:r w:rsidR="00DE3AB5">
        <w:t xml:space="preserve"> </w:t>
      </w:r>
      <w:r w:rsidR="00300DAD">
        <w:t>V</w:t>
      </w:r>
      <w:r w:rsidR="00DE3AB5">
        <w:t>I</w:t>
      </w:r>
      <w:r w:rsidR="00E66893">
        <w:t>, 20</w:t>
      </w:r>
      <w:r w:rsidR="00E074E4">
        <w:t>11</w:t>
      </w:r>
      <w:r w:rsidR="00E66893">
        <w:t>-20</w:t>
      </w:r>
      <w:r w:rsidR="00300DAD">
        <w:t>1</w:t>
      </w:r>
      <w:r w:rsidR="00E074E4">
        <w:t>2</w:t>
      </w:r>
    </w:p>
    <w:p w:rsidR="00D36DEC" w:rsidRDefault="00D36DEC" w:rsidP="001A1452">
      <w:pPr>
        <w:pStyle w:val="NoSpacing"/>
      </w:pPr>
    </w:p>
    <w:p w:rsidR="00D36DEC" w:rsidRPr="00D36DEC" w:rsidRDefault="001A1452" w:rsidP="00141E2A">
      <w:pPr>
        <w:rPr>
          <w:rFonts w:ascii="Calibri" w:hAnsi="Calibri"/>
          <w:sz w:val="22"/>
          <w:szCs w:val="22"/>
        </w:rPr>
      </w:pPr>
      <w:r w:rsidRPr="00D36DEC">
        <w:rPr>
          <w:rFonts w:ascii="Calibri" w:hAnsi="Calibri"/>
          <w:b/>
          <w:sz w:val="22"/>
          <w:szCs w:val="22"/>
        </w:rPr>
        <w:t>Project Title</w:t>
      </w:r>
      <w:r w:rsidR="00D36DEC" w:rsidRPr="00D36DEC">
        <w:rPr>
          <w:rFonts w:ascii="Calibri" w:hAnsi="Calibri"/>
          <w:b/>
          <w:sz w:val="22"/>
          <w:szCs w:val="22"/>
        </w:rPr>
        <w:t>:</w:t>
      </w:r>
      <w:r w:rsidR="00D36DEC" w:rsidRPr="00D36DEC">
        <w:rPr>
          <w:rFonts w:ascii="Calibri" w:hAnsi="Calibri"/>
          <w:sz w:val="22"/>
          <w:szCs w:val="22"/>
        </w:rPr>
        <w:t xml:space="preserve"> </w:t>
      </w:r>
      <w:r w:rsidR="00E66893">
        <w:rPr>
          <w:rFonts w:ascii="Calibri" w:hAnsi="Calibri"/>
          <w:sz w:val="22"/>
          <w:szCs w:val="22"/>
        </w:rPr>
        <w:t xml:space="preserve"> </w:t>
      </w:r>
      <w:r w:rsidR="00141E2A" w:rsidRPr="00141E2A">
        <w:rPr>
          <w:rFonts w:ascii="Calibri" w:hAnsi="Calibri"/>
          <w:sz w:val="22"/>
          <w:szCs w:val="22"/>
        </w:rPr>
        <w:t>Looking to Our Roots: Opportunities in Social Justice for Career Development Professionals</w:t>
      </w:r>
    </w:p>
    <w:p w:rsidR="001A1452" w:rsidRDefault="001A1452" w:rsidP="001A1452">
      <w:pPr>
        <w:pStyle w:val="NoSpacing"/>
      </w:pPr>
    </w:p>
    <w:p w:rsidR="00D36DEC" w:rsidRPr="00141E2A" w:rsidRDefault="00D36DEC" w:rsidP="001A1452">
      <w:pPr>
        <w:pStyle w:val="NoSpacing"/>
      </w:pPr>
      <w:r w:rsidRPr="00D36DEC">
        <w:rPr>
          <w:b/>
        </w:rPr>
        <w:t>Project Description:</w:t>
      </w:r>
      <w:r w:rsidR="00141E2A">
        <w:rPr>
          <w:b/>
        </w:rPr>
        <w:t xml:space="preserve"> </w:t>
      </w:r>
      <w:r w:rsidR="00141E2A">
        <w:t>This was a study of expert opinion (Delphi method) about the career development challenges faced by traditionally marginalized populations in the context of the current economic crisis, as well as action steps that might be taken to address these challenges</w:t>
      </w:r>
    </w:p>
    <w:p w:rsidR="001A1452" w:rsidRPr="00D36DEC" w:rsidRDefault="001A1452" w:rsidP="001A1452">
      <w:pPr>
        <w:pStyle w:val="NoSpacing"/>
      </w:pPr>
    </w:p>
    <w:p w:rsidR="001A1452" w:rsidRPr="00141E2A" w:rsidRDefault="001A1452" w:rsidP="001A1452">
      <w:pPr>
        <w:pStyle w:val="NoSpacing"/>
      </w:pPr>
      <w:r w:rsidRPr="00D36DEC">
        <w:rPr>
          <w:b/>
        </w:rPr>
        <w:t>Summary/Conclusion:</w:t>
      </w:r>
      <w:r w:rsidR="00141E2A">
        <w:rPr>
          <w:b/>
        </w:rPr>
        <w:t xml:space="preserve"> </w:t>
      </w:r>
      <w:r w:rsidR="00141E2A">
        <w:t>Experts reported several types of career development challenges faced by traditionally marginalized populations. These experts also generated a ranked list of action items that might be carried out to address these concerns (see attached document for full list).</w:t>
      </w:r>
    </w:p>
    <w:p w:rsidR="00D36DEC" w:rsidRPr="00D36DEC" w:rsidRDefault="00D36DEC" w:rsidP="001A1452">
      <w:pPr>
        <w:pStyle w:val="NoSpacing"/>
      </w:pPr>
    </w:p>
    <w:p w:rsidR="001A1452" w:rsidRPr="00141E2A" w:rsidRDefault="001A1452" w:rsidP="001A1452">
      <w:pPr>
        <w:pStyle w:val="NoSpacing"/>
      </w:pPr>
      <w:r w:rsidRPr="00D36DEC">
        <w:rPr>
          <w:b/>
        </w:rPr>
        <w:t>Results/Recommendations:</w:t>
      </w:r>
      <w:r w:rsidR="00141E2A">
        <w:rPr>
          <w:b/>
        </w:rPr>
        <w:t xml:space="preserve"> </w:t>
      </w:r>
      <w:r w:rsidR="00141E2A">
        <w:t>See attached document for recommendations.</w:t>
      </w:r>
    </w:p>
    <w:p w:rsidR="00141E2A" w:rsidRDefault="00141E2A" w:rsidP="00141E2A">
      <w:pPr>
        <w:rPr>
          <w:rFonts w:ascii="Calibri" w:hAnsi="Calibri"/>
          <w:sz w:val="22"/>
          <w:szCs w:val="22"/>
        </w:rPr>
      </w:pPr>
    </w:p>
    <w:p w:rsidR="00141E2A" w:rsidRDefault="00141E2A" w:rsidP="00141E2A">
      <w:pPr>
        <w:rPr>
          <w:rFonts w:ascii="Calibri" w:hAnsi="Calibri"/>
          <w:sz w:val="22"/>
          <w:szCs w:val="22"/>
        </w:rPr>
      </w:pPr>
    </w:p>
    <w:p w:rsidR="00141E2A" w:rsidRDefault="00141E2A" w:rsidP="00141E2A">
      <w:pPr>
        <w:rPr>
          <w:rFonts w:ascii="Calibri" w:hAnsi="Calibri"/>
          <w:sz w:val="22"/>
          <w:szCs w:val="22"/>
        </w:rPr>
      </w:pPr>
    </w:p>
    <w:p w:rsidR="00141E2A" w:rsidRDefault="00141E2A" w:rsidP="00141E2A">
      <w:pPr>
        <w:rPr>
          <w:rFonts w:ascii="Calibri" w:hAnsi="Calibri"/>
          <w:sz w:val="22"/>
          <w:szCs w:val="22"/>
        </w:rPr>
      </w:pPr>
    </w:p>
    <w:p w:rsidR="00141E2A" w:rsidRDefault="00141E2A" w:rsidP="00141E2A">
      <w:pPr>
        <w:rPr>
          <w:rFonts w:ascii="Calibri" w:hAnsi="Calibri"/>
          <w:sz w:val="22"/>
          <w:szCs w:val="22"/>
        </w:rPr>
      </w:pPr>
    </w:p>
    <w:p w:rsidR="00141E2A" w:rsidRDefault="00141E2A" w:rsidP="00141E2A">
      <w:pPr>
        <w:rPr>
          <w:rFonts w:ascii="Calibri" w:hAnsi="Calibri"/>
          <w:sz w:val="22"/>
          <w:szCs w:val="22"/>
        </w:rPr>
      </w:pPr>
    </w:p>
    <w:p w:rsidR="00141E2A" w:rsidRDefault="00141E2A" w:rsidP="00141E2A">
      <w:pPr>
        <w:rPr>
          <w:rFonts w:ascii="Calibri" w:hAnsi="Calibri"/>
          <w:sz w:val="22"/>
          <w:szCs w:val="22"/>
        </w:rPr>
      </w:pPr>
    </w:p>
    <w:p w:rsidR="00141E2A" w:rsidRDefault="00141E2A" w:rsidP="00141E2A">
      <w:pPr>
        <w:rPr>
          <w:rFonts w:ascii="Calibri" w:hAnsi="Calibri"/>
          <w:sz w:val="22"/>
          <w:szCs w:val="22"/>
        </w:rPr>
      </w:pPr>
    </w:p>
    <w:p w:rsidR="00141E2A" w:rsidRDefault="00141E2A" w:rsidP="00141E2A">
      <w:pPr>
        <w:rPr>
          <w:rFonts w:ascii="Calibri" w:hAnsi="Calibri"/>
          <w:sz w:val="22"/>
          <w:szCs w:val="22"/>
        </w:rPr>
      </w:pPr>
    </w:p>
    <w:p w:rsidR="00141E2A" w:rsidRDefault="00141E2A" w:rsidP="00141E2A">
      <w:pPr>
        <w:rPr>
          <w:rFonts w:ascii="Calibri" w:hAnsi="Calibri"/>
          <w:sz w:val="22"/>
          <w:szCs w:val="22"/>
        </w:rPr>
      </w:pPr>
    </w:p>
    <w:p w:rsidR="00141E2A" w:rsidRDefault="00141E2A" w:rsidP="00141E2A">
      <w:pPr>
        <w:rPr>
          <w:rFonts w:ascii="Calibri" w:hAnsi="Calibri"/>
          <w:sz w:val="22"/>
          <w:szCs w:val="22"/>
        </w:rPr>
      </w:pPr>
    </w:p>
    <w:p w:rsidR="00141E2A" w:rsidRDefault="00141E2A" w:rsidP="00141E2A">
      <w:pPr>
        <w:rPr>
          <w:rFonts w:ascii="Calibri" w:hAnsi="Calibri"/>
          <w:sz w:val="22"/>
          <w:szCs w:val="22"/>
        </w:rPr>
      </w:pPr>
    </w:p>
    <w:p w:rsidR="00141E2A" w:rsidRDefault="00141E2A" w:rsidP="00141E2A">
      <w:pPr>
        <w:rPr>
          <w:rFonts w:ascii="Calibri" w:hAnsi="Calibri"/>
          <w:sz w:val="22"/>
          <w:szCs w:val="22"/>
        </w:rPr>
      </w:pPr>
    </w:p>
    <w:p w:rsidR="00141E2A" w:rsidRDefault="00141E2A" w:rsidP="00141E2A">
      <w:pPr>
        <w:rPr>
          <w:rFonts w:ascii="Calibri" w:hAnsi="Calibri"/>
          <w:sz w:val="22"/>
          <w:szCs w:val="22"/>
        </w:rPr>
      </w:pPr>
    </w:p>
    <w:p w:rsidR="00141E2A" w:rsidRDefault="00141E2A" w:rsidP="00141E2A">
      <w:pPr>
        <w:rPr>
          <w:rFonts w:ascii="Calibri" w:hAnsi="Calibri"/>
          <w:sz w:val="22"/>
          <w:szCs w:val="22"/>
        </w:rPr>
      </w:pPr>
    </w:p>
    <w:p w:rsidR="00141E2A" w:rsidRDefault="00141E2A" w:rsidP="00141E2A">
      <w:pPr>
        <w:rPr>
          <w:rFonts w:ascii="Calibri" w:hAnsi="Calibri"/>
          <w:sz w:val="22"/>
          <w:szCs w:val="22"/>
        </w:rPr>
      </w:pPr>
    </w:p>
    <w:p w:rsidR="00141E2A" w:rsidRDefault="00141E2A" w:rsidP="00141E2A">
      <w:pPr>
        <w:rPr>
          <w:rFonts w:ascii="Calibri" w:hAnsi="Calibri"/>
          <w:sz w:val="22"/>
          <w:szCs w:val="22"/>
        </w:rPr>
      </w:pPr>
    </w:p>
    <w:p w:rsidR="00141E2A" w:rsidRDefault="00141E2A" w:rsidP="00141E2A">
      <w:pPr>
        <w:rPr>
          <w:rFonts w:ascii="Calibri" w:hAnsi="Calibri"/>
          <w:sz w:val="22"/>
          <w:szCs w:val="22"/>
        </w:rPr>
      </w:pPr>
    </w:p>
    <w:p w:rsidR="00141E2A" w:rsidRPr="00141E2A" w:rsidRDefault="00141E2A" w:rsidP="00141E2A">
      <w:pPr>
        <w:contextualSpacing/>
        <w:rPr>
          <w:rFonts w:ascii="Cambria" w:eastAsia="Calibri" w:hAnsi="Cambria"/>
          <w:sz w:val="24"/>
          <w:szCs w:val="24"/>
        </w:rPr>
      </w:pPr>
    </w:p>
    <w:p w:rsidR="00141E2A" w:rsidRPr="00141E2A" w:rsidRDefault="00141E2A" w:rsidP="00141E2A">
      <w:pPr>
        <w:contextualSpacing/>
        <w:rPr>
          <w:rFonts w:ascii="Cambria" w:eastAsia="Calibri" w:hAnsi="Cambria"/>
          <w:sz w:val="24"/>
          <w:szCs w:val="24"/>
        </w:rPr>
      </w:pPr>
    </w:p>
    <w:p w:rsidR="00141E2A" w:rsidRPr="00141E2A" w:rsidRDefault="00141E2A" w:rsidP="00141E2A">
      <w:pPr>
        <w:contextualSpacing/>
        <w:rPr>
          <w:rFonts w:ascii="Cambria" w:eastAsia="Calibri" w:hAnsi="Cambria"/>
          <w:sz w:val="24"/>
          <w:szCs w:val="24"/>
        </w:rPr>
      </w:pPr>
    </w:p>
    <w:p w:rsidR="00141E2A" w:rsidRPr="00141E2A" w:rsidRDefault="00141E2A" w:rsidP="00141E2A">
      <w:pPr>
        <w:contextualSpacing/>
        <w:rPr>
          <w:rFonts w:ascii="Cambria" w:eastAsia="Calibri" w:hAnsi="Cambria"/>
          <w:sz w:val="24"/>
          <w:szCs w:val="24"/>
        </w:rPr>
      </w:pPr>
    </w:p>
    <w:p w:rsidR="00141E2A" w:rsidRPr="00141E2A" w:rsidRDefault="00141E2A" w:rsidP="00141E2A">
      <w:pPr>
        <w:contextualSpacing/>
        <w:rPr>
          <w:rFonts w:ascii="Cambria" w:eastAsia="Calibri" w:hAnsi="Cambria"/>
          <w:sz w:val="24"/>
          <w:szCs w:val="24"/>
        </w:rPr>
      </w:pPr>
    </w:p>
    <w:p w:rsidR="00141E2A" w:rsidRPr="00141E2A" w:rsidRDefault="00141E2A" w:rsidP="00141E2A">
      <w:pPr>
        <w:contextualSpacing/>
        <w:rPr>
          <w:rFonts w:ascii="Cambria" w:eastAsia="Calibri" w:hAnsi="Cambria"/>
          <w:sz w:val="24"/>
          <w:szCs w:val="24"/>
        </w:rPr>
      </w:pPr>
    </w:p>
    <w:p w:rsidR="00141E2A" w:rsidRPr="00141E2A" w:rsidRDefault="00141E2A" w:rsidP="00141E2A">
      <w:pPr>
        <w:contextualSpacing/>
        <w:rPr>
          <w:rFonts w:ascii="Cambria" w:eastAsia="Calibri" w:hAnsi="Cambria"/>
          <w:sz w:val="24"/>
          <w:szCs w:val="24"/>
        </w:rPr>
      </w:pPr>
    </w:p>
    <w:p w:rsidR="00141E2A" w:rsidRPr="00141E2A" w:rsidRDefault="00141E2A" w:rsidP="00141E2A">
      <w:pPr>
        <w:contextualSpacing/>
        <w:rPr>
          <w:rFonts w:ascii="Cambria" w:eastAsia="Calibri" w:hAnsi="Cambria"/>
          <w:sz w:val="24"/>
          <w:szCs w:val="24"/>
        </w:rPr>
      </w:pPr>
    </w:p>
    <w:p w:rsidR="00141E2A" w:rsidRPr="00141E2A" w:rsidRDefault="00141E2A" w:rsidP="00141E2A">
      <w:pPr>
        <w:contextualSpacing/>
        <w:jc w:val="center"/>
        <w:rPr>
          <w:rFonts w:ascii="Cambria" w:eastAsia="Calibri" w:hAnsi="Cambria"/>
          <w:sz w:val="32"/>
          <w:szCs w:val="32"/>
        </w:rPr>
      </w:pPr>
      <w:r w:rsidRPr="00141E2A">
        <w:rPr>
          <w:rFonts w:ascii="Cambria" w:eastAsia="Calibri" w:hAnsi="Cambria"/>
          <w:sz w:val="32"/>
          <w:szCs w:val="32"/>
        </w:rPr>
        <w:t xml:space="preserve">Looking to Our Roots: </w:t>
      </w:r>
    </w:p>
    <w:p w:rsidR="00141E2A" w:rsidRPr="00141E2A" w:rsidRDefault="00141E2A" w:rsidP="00141E2A">
      <w:pPr>
        <w:contextualSpacing/>
        <w:jc w:val="center"/>
        <w:rPr>
          <w:rFonts w:ascii="Cambria" w:eastAsia="Calibri" w:hAnsi="Cambria"/>
          <w:sz w:val="32"/>
          <w:szCs w:val="32"/>
        </w:rPr>
      </w:pPr>
      <w:r w:rsidRPr="00141E2A">
        <w:rPr>
          <w:rFonts w:ascii="Cambria" w:eastAsia="Calibri" w:hAnsi="Cambria"/>
          <w:sz w:val="32"/>
          <w:szCs w:val="32"/>
        </w:rPr>
        <w:t>Opportunities in Social Justice for Career Development Professionals</w:t>
      </w:r>
    </w:p>
    <w:p w:rsidR="00141E2A" w:rsidRPr="00141E2A" w:rsidRDefault="00141E2A" w:rsidP="00141E2A">
      <w:pPr>
        <w:contextualSpacing/>
        <w:jc w:val="center"/>
        <w:rPr>
          <w:rFonts w:ascii="Cambria" w:eastAsia="Calibri" w:hAnsi="Cambria"/>
          <w:sz w:val="32"/>
          <w:szCs w:val="32"/>
        </w:rPr>
      </w:pPr>
    </w:p>
    <w:p w:rsidR="00141E2A" w:rsidRPr="00141E2A" w:rsidRDefault="00141E2A" w:rsidP="00141E2A">
      <w:pPr>
        <w:contextualSpacing/>
        <w:jc w:val="center"/>
        <w:rPr>
          <w:rFonts w:ascii="Cambria" w:eastAsia="Calibri" w:hAnsi="Cambria"/>
          <w:b/>
          <w:i/>
          <w:sz w:val="24"/>
          <w:szCs w:val="24"/>
        </w:rPr>
      </w:pPr>
      <w:r w:rsidRPr="00141E2A">
        <w:rPr>
          <w:rFonts w:ascii="Cambria" w:eastAsia="Calibri" w:hAnsi="Cambria"/>
          <w:b/>
          <w:i/>
          <w:sz w:val="32"/>
          <w:szCs w:val="32"/>
        </w:rPr>
        <w:t>Recommendations for the NCDA Board</w:t>
      </w:r>
    </w:p>
    <w:p w:rsidR="00141E2A" w:rsidRPr="00141E2A" w:rsidRDefault="00141E2A" w:rsidP="00141E2A">
      <w:pPr>
        <w:contextualSpacing/>
        <w:jc w:val="center"/>
        <w:rPr>
          <w:rFonts w:ascii="Cambria" w:eastAsia="Calibri" w:hAnsi="Cambria"/>
          <w:sz w:val="24"/>
          <w:szCs w:val="24"/>
        </w:rPr>
      </w:pPr>
    </w:p>
    <w:p w:rsidR="00141E2A" w:rsidRPr="00141E2A" w:rsidRDefault="00141E2A" w:rsidP="00141E2A">
      <w:pPr>
        <w:contextualSpacing/>
        <w:jc w:val="center"/>
        <w:rPr>
          <w:rFonts w:ascii="Cambria" w:eastAsia="Calibri" w:hAnsi="Cambria"/>
          <w:sz w:val="24"/>
          <w:szCs w:val="24"/>
        </w:rPr>
      </w:pPr>
    </w:p>
    <w:p w:rsidR="00141E2A" w:rsidRPr="00141E2A" w:rsidRDefault="00141E2A" w:rsidP="00141E2A">
      <w:pPr>
        <w:contextualSpacing/>
        <w:jc w:val="center"/>
        <w:rPr>
          <w:rFonts w:ascii="Cambria" w:eastAsia="Calibri" w:hAnsi="Cambria"/>
          <w:sz w:val="24"/>
          <w:szCs w:val="24"/>
        </w:rPr>
      </w:pPr>
    </w:p>
    <w:p w:rsidR="00141E2A" w:rsidRPr="00141E2A" w:rsidRDefault="00141E2A" w:rsidP="00141E2A">
      <w:pPr>
        <w:spacing w:after="200" w:line="276" w:lineRule="auto"/>
        <w:contextualSpacing/>
        <w:jc w:val="center"/>
        <w:rPr>
          <w:rFonts w:ascii="Cambria" w:eastAsia="Calibri" w:hAnsi="Cambria"/>
          <w:sz w:val="24"/>
          <w:szCs w:val="24"/>
        </w:rPr>
      </w:pPr>
      <w:r w:rsidRPr="00141E2A">
        <w:rPr>
          <w:rFonts w:ascii="Cambria" w:eastAsia="Calibri" w:hAnsi="Cambria"/>
          <w:bCs/>
          <w:sz w:val="24"/>
          <w:szCs w:val="24"/>
        </w:rPr>
        <w:t>Kevin A. Tate</w:t>
      </w:r>
    </w:p>
    <w:p w:rsidR="00141E2A" w:rsidRPr="00141E2A" w:rsidRDefault="00141E2A" w:rsidP="00141E2A">
      <w:pPr>
        <w:spacing w:after="200" w:line="276" w:lineRule="auto"/>
        <w:contextualSpacing/>
        <w:jc w:val="center"/>
        <w:rPr>
          <w:rFonts w:ascii="Cambria" w:eastAsia="Calibri" w:hAnsi="Cambria"/>
          <w:sz w:val="24"/>
          <w:szCs w:val="24"/>
        </w:rPr>
      </w:pPr>
      <w:r w:rsidRPr="00141E2A">
        <w:rPr>
          <w:rFonts w:ascii="Cambria" w:eastAsia="Calibri" w:hAnsi="Cambria"/>
          <w:bCs/>
          <w:i/>
          <w:iCs/>
          <w:sz w:val="24"/>
          <w:szCs w:val="24"/>
        </w:rPr>
        <w:t>Marquette University</w:t>
      </w:r>
    </w:p>
    <w:p w:rsidR="00141E2A" w:rsidRPr="00141E2A" w:rsidRDefault="00141E2A" w:rsidP="00141E2A">
      <w:pPr>
        <w:contextualSpacing/>
        <w:jc w:val="center"/>
        <w:rPr>
          <w:rFonts w:ascii="Cambria" w:eastAsia="Calibri" w:hAnsi="Cambria"/>
          <w:sz w:val="24"/>
          <w:szCs w:val="24"/>
        </w:rPr>
      </w:pPr>
    </w:p>
    <w:p w:rsidR="00141E2A" w:rsidRPr="00141E2A" w:rsidRDefault="00141E2A" w:rsidP="00141E2A">
      <w:pPr>
        <w:contextualSpacing/>
        <w:jc w:val="center"/>
        <w:rPr>
          <w:rFonts w:ascii="Cambria" w:eastAsia="Calibri" w:hAnsi="Cambria"/>
          <w:sz w:val="24"/>
          <w:szCs w:val="24"/>
        </w:rPr>
      </w:pPr>
    </w:p>
    <w:p w:rsidR="00141E2A" w:rsidRPr="00141E2A" w:rsidRDefault="00141E2A" w:rsidP="00141E2A">
      <w:pPr>
        <w:contextualSpacing/>
        <w:jc w:val="center"/>
        <w:rPr>
          <w:rFonts w:ascii="Cambria" w:eastAsia="Calibri" w:hAnsi="Cambria"/>
          <w:sz w:val="24"/>
          <w:szCs w:val="24"/>
        </w:rPr>
      </w:pPr>
    </w:p>
    <w:p w:rsidR="00141E2A" w:rsidRPr="00141E2A" w:rsidRDefault="00141E2A" w:rsidP="00141E2A">
      <w:pPr>
        <w:contextualSpacing/>
        <w:jc w:val="center"/>
        <w:rPr>
          <w:rFonts w:ascii="Cambria" w:eastAsia="Calibri" w:hAnsi="Cambria"/>
          <w:sz w:val="24"/>
          <w:szCs w:val="24"/>
        </w:rPr>
      </w:pPr>
    </w:p>
    <w:p w:rsidR="00141E2A" w:rsidRPr="00141E2A" w:rsidRDefault="00141E2A" w:rsidP="00141E2A">
      <w:pPr>
        <w:contextualSpacing/>
        <w:jc w:val="center"/>
        <w:rPr>
          <w:rFonts w:ascii="Cambria" w:eastAsia="Calibri" w:hAnsi="Cambria"/>
          <w:sz w:val="24"/>
          <w:szCs w:val="24"/>
        </w:rPr>
      </w:pPr>
    </w:p>
    <w:p w:rsidR="00141E2A" w:rsidRPr="00141E2A" w:rsidRDefault="00141E2A" w:rsidP="00141E2A">
      <w:pPr>
        <w:contextualSpacing/>
        <w:jc w:val="center"/>
        <w:rPr>
          <w:rFonts w:ascii="Cambria" w:eastAsia="Calibri" w:hAnsi="Cambria"/>
          <w:sz w:val="24"/>
          <w:szCs w:val="24"/>
        </w:rPr>
      </w:pPr>
    </w:p>
    <w:p w:rsidR="00141E2A" w:rsidRPr="00141E2A" w:rsidRDefault="00141E2A" w:rsidP="00141E2A">
      <w:pPr>
        <w:contextualSpacing/>
        <w:jc w:val="center"/>
        <w:rPr>
          <w:rFonts w:ascii="Cambria" w:eastAsia="Calibri" w:hAnsi="Cambria"/>
          <w:sz w:val="24"/>
          <w:szCs w:val="24"/>
        </w:rPr>
      </w:pPr>
      <w:r w:rsidRPr="00141E2A">
        <w:rPr>
          <w:rFonts w:ascii="Cambria" w:eastAsia="Calibri" w:hAnsi="Cambria"/>
          <w:sz w:val="24"/>
          <w:szCs w:val="24"/>
        </w:rPr>
        <w:t xml:space="preserve"> </w:t>
      </w:r>
      <w:r w:rsidRPr="00141E2A">
        <w:rPr>
          <w:rFonts w:ascii="Cambria" w:eastAsia="Calibri" w:hAnsi="Cambria"/>
          <w:sz w:val="24"/>
          <w:szCs w:val="24"/>
        </w:rPr>
        <w:br w:type="page"/>
      </w:r>
    </w:p>
    <w:p w:rsidR="00141E2A" w:rsidRPr="00141E2A" w:rsidRDefault="00141E2A" w:rsidP="00141E2A">
      <w:pPr>
        <w:contextualSpacing/>
        <w:rPr>
          <w:rFonts w:ascii="Cambria" w:eastAsia="Calibri" w:hAnsi="Cambria"/>
          <w:sz w:val="24"/>
          <w:szCs w:val="24"/>
        </w:rPr>
      </w:pPr>
      <w:r w:rsidRPr="00141E2A">
        <w:rPr>
          <w:rFonts w:ascii="Calibri" w:eastAsia="Calibri" w:hAnsi="Calibri"/>
          <w:sz w:val="22"/>
          <w:szCs w:val="22"/>
        </w:rPr>
        <w:lastRenderedPageBreak/>
        <w:tab/>
      </w:r>
      <w:r w:rsidRPr="00141E2A">
        <w:rPr>
          <w:rFonts w:ascii="Cambria" w:eastAsia="Calibri" w:hAnsi="Cambria"/>
          <w:sz w:val="24"/>
          <w:szCs w:val="24"/>
        </w:rPr>
        <w:t xml:space="preserve">These recommendations to the NCDA board are a follow-up to a study designed to investigate the career development and work issues faced by traditionally marginalized populations in the context of the current economic crisis, as well as to generate strategies that may be used to address such issues (to review the full results of this study, please refer to the document titled </w:t>
      </w:r>
      <w:r w:rsidRPr="00141E2A">
        <w:rPr>
          <w:rFonts w:ascii="Cambria" w:eastAsia="Calibri" w:hAnsi="Cambria"/>
          <w:i/>
          <w:sz w:val="24"/>
          <w:szCs w:val="24"/>
        </w:rPr>
        <w:t>Delphi Study Summary</w:t>
      </w:r>
      <w:r w:rsidRPr="00141E2A">
        <w:rPr>
          <w:rFonts w:ascii="Cambria" w:eastAsia="Calibri" w:hAnsi="Cambria"/>
          <w:sz w:val="24"/>
          <w:szCs w:val="24"/>
        </w:rPr>
        <w:t xml:space="preserve">). The experts who responded to this study have outlined dire career development and work issues being faced by traditionally marginalized populations, but they have also given some clear, prioritized guidance on a way forward through these issues. As an organization, NCDA has incredible leverage to affect the lived experience of marginalized populations, and what follows are some beginning steps that the NCDA board might consider in order to improve the career development and work experience of those who have traditionally faced difficult, unfair, and oppressive circumstances. </w:t>
      </w:r>
    </w:p>
    <w:p w:rsidR="00141E2A" w:rsidRPr="00141E2A" w:rsidRDefault="00141E2A" w:rsidP="00141E2A">
      <w:pPr>
        <w:contextualSpacing/>
        <w:rPr>
          <w:rFonts w:ascii="Cambria" w:eastAsia="Calibri" w:hAnsi="Cambria"/>
          <w:sz w:val="24"/>
          <w:szCs w:val="24"/>
        </w:rPr>
      </w:pPr>
    </w:p>
    <w:p w:rsidR="00141E2A" w:rsidRPr="00141E2A" w:rsidRDefault="00141E2A" w:rsidP="00141E2A">
      <w:pPr>
        <w:contextualSpacing/>
        <w:jc w:val="center"/>
        <w:rPr>
          <w:rFonts w:ascii="Cambria" w:eastAsia="Calibri" w:hAnsi="Cambria"/>
          <w:b/>
          <w:sz w:val="24"/>
          <w:szCs w:val="24"/>
        </w:rPr>
      </w:pPr>
      <w:r w:rsidRPr="00141E2A">
        <w:rPr>
          <w:rFonts w:ascii="Cambria" w:eastAsia="Calibri" w:hAnsi="Cambria"/>
          <w:b/>
          <w:sz w:val="24"/>
          <w:szCs w:val="24"/>
        </w:rPr>
        <w:t>Recommendations for Action</w:t>
      </w:r>
    </w:p>
    <w:p w:rsidR="00141E2A" w:rsidRPr="00141E2A" w:rsidRDefault="00141E2A" w:rsidP="00141E2A">
      <w:pPr>
        <w:contextualSpacing/>
        <w:rPr>
          <w:rFonts w:ascii="Cambria" w:eastAsia="Calibri" w:hAnsi="Cambria"/>
          <w:sz w:val="24"/>
          <w:szCs w:val="24"/>
        </w:rPr>
      </w:pPr>
    </w:p>
    <w:p w:rsidR="00141E2A" w:rsidRPr="00141E2A" w:rsidRDefault="00141E2A" w:rsidP="00141E2A">
      <w:pPr>
        <w:ind w:firstLine="720"/>
        <w:contextualSpacing/>
        <w:rPr>
          <w:rFonts w:ascii="Cambria" w:eastAsia="Calibri" w:hAnsi="Cambria"/>
          <w:sz w:val="24"/>
          <w:szCs w:val="24"/>
        </w:rPr>
      </w:pPr>
      <w:r w:rsidRPr="00141E2A">
        <w:rPr>
          <w:rFonts w:ascii="Cambria" w:eastAsia="Calibri" w:hAnsi="Cambria"/>
          <w:sz w:val="24"/>
          <w:szCs w:val="24"/>
        </w:rPr>
        <w:t xml:space="preserve">While it is clear that all of the action items put forth and ranked by the experts in this study are important, I will attempt to pull out two issues from these items that seem relevant to the mission and purview of NCDA. Further, I will provide initial ideas in terms of concrete actions NCDA might take in the near future in relation to these issues. </w:t>
      </w:r>
    </w:p>
    <w:p w:rsidR="00141E2A" w:rsidRPr="00141E2A" w:rsidRDefault="00141E2A" w:rsidP="00141E2A">
      <w:pPr>
        <w:contextualSpacing/>
        <w:rPr>
          <w:rFonts w:ascii="Cambria" w:eastAsia="Calibri" w:hAnsi="Cambria"/>
          <w:sz w:val="24"/>
          <w:szCs w:val="24"/>
        </w:rPr>
      </w:pPr>
    </w:p>
    <w:p w:rsidR="00141E2A" w:rsidRPr="00141E2A" w:rsidRDefault="00141E2A" w:rsidP="00141E2A">
      <w:pPr>
        <w:contextualSpacing/>
        <w:rPr>
          <w:rFonts w:ascii="Cambria" w:eastAsia="Calibri" w:hAnsi="Cambria"/>
          <w:b/>
          <w:sz w:val="24"/>
          <w:szCs w:val="24"/>
        </w:rPr>
      </w:pPr>
      <w:r w:rsidRPr="00141E2A">
        <w:rPr>
          <w:rFonts w:ascii="Cambria" w:eastAsia="Calibri" w:hAnsi="Cambria"/>
          <w:b/>
          <w:sz w:val="24"/>
          <w:szCs w:val="24"/>
        </w:rPr>
        <w:t>Issue 1 – Training &amp; Professional Development</w:t>
      </w:r>
    </w:p>
    <w:p w:rsidR="00141E2A" w:rsidRPr="00141E2A" w:rsidRDefault="00141E2A" w:rsidP="00141E2A">
      <w:pPr>
        <w:ind w:firstLine="720"/>
        <w:contextualSpacing/>
        <w:rPr>
          <w:rFonts w:ascii="Cambria" w:eastAsia="Calibri" w:hAnsi="Cambria"/>
          <w:sz w:val="24"/>
          <w:szCs w:val="24"/>
        </w:rPr>
      </w:pPr>
      <w:r w:rsidRPr="00141E2A">
        <w:rPr>
          <w:rFonts w:ascii="Cambria" w:eastAsia="Calibri" w:hAnsi="Cambria"/>
          <w:sz w:val="24"/>
          <w:szCs w:val="24"/>
        </w:rPr>
        <w:t>This issue was one of the four main categories of action items put forth by the expert panel. Below are some representative items that address the issue of training and professional development (see the end of this document for the full list of prioritized items).</w:t>
      </w:r>
    </w:p>
    <w:p w:rsidR="00141E2A" w:rsidRPr="00141E2A" w:rsidRDefault="00141E2A" w:rsidP="00141E2A">
      <w:pPr>
        <w:contextualSpacing/>
        <w:rPr>
          <w:rFonts w:ascii="Cambria" w:eastAsia="Calibri" w:hAnsi="Cambria"/>
          <w:sz w:val="24"/>
          <w:szCs w:val="24"/>
        </w:rPr>
      </w:pPr>
    </w:p>
    <w:p w:rsidR="00141E2A" w:rsidRPr="00141E2A" w:rsidRDefault="00141E2A" w:rsidP="00141E2A">
      <w:pPr>
        <w:ind w:left="720"/>
        <w:contextualSpacing/>
        <w:rPr>
          <w:rFonts w:ascii="Cambria" w:eastAsia="Calibri" w:hAnsi="Cambria"/>
          <w:sz w:val="24"/>
          <w:szCs w:val="24"/>
        </w:rPr>
      </w:pPr>
      <w:r w:rsidRPr="00141E2A">
        <w:rPr>
          <w:rFonts w:ascii="Cambria" w:eastAsia="Calibri" w:hAnsi="Cambria"/>
          <w:sz w:val="24"/>
          <w:szCs w:val="24"/>
        </w:rPr>
        <w:t xml:space="preserve">“Increase knowledge, awareness and counseling skills in regard to contextual and cultural factors’ influence on the career development of traditionally marginalized populations.” </w:t>
      </w:r>
    </w:p>
    <w:p w:rsidR="00141E2A" w:rsidRPr="00141E2A" w:rsidRDefault="00141E2A" w:rsidP="00141E2A">
      <w:pPr>
        <w:ind w:left="720"/>
        <w:contextualSpacing/>
        <w:rPr>
          <w:rFonts w:ascii="Cambria" w:eastAsia="Calibri" w:hAnsi="Cambria"/>
          <w:sz w:val="24"/>
          <w:szCs w:val="24"/>
        </w:rPr>
      </w:pPr>
    </w:p>
    <w:p w:rsidR="00141E2A" w:rsidRPr="00141E2A" w:rsidRDefault="00141E2A" w:rsidP="00141E2A">
      <w:pPr>
        <w:ind w:left="720"/>
        <w:contextualSpacing/>
        <w:rPr>
          <w:rFonts w:ascii="Cambria" w:eastAsia="Calibri" w:hAnsi="Cambria"/>
          <w:sz w:val="24"/>
          <w:szCs w:val="24"/>
        </w:rPr>
      </w:pPr>
      <w:r w:rsidRPr="00141E2A">
        <w:rPr>
          <w:rFonts w:ascii="Cambria" w:eastAsia="Calibri" w:hAnsi="Cambria"/>
          <w:sz w:val="24"/>
          <w:szCs w:val="24"/>
        </w:rPr>
        <w:t xml:space="preserve">“Career counseling and programming should be culturally and contextually relevant to various traditionally marginalized population (e.g., networking, mentor development, career knowledge, and experiential learning) and should be developed in partnership with these populations when possible.” </w:t>
      </w:r>
    </w:p>
    <w:p w:rsidR="00141E2A" w:rsidRPr="00141E2A" w:rsidRDefault="00141E2A" w:rsidP="00141E2A">
      <w:pPr>
        <w:ind w:left="720"/>
        <w:contextualSpacing/>
        <w:rPr>
          <w:rFonts w:ascii="Cambria" w:eastAsia="Calibri" w:hAnsi="Cambria"/>
          <w:sz w:val="24"/>
          <w:szCs w:val="24"/>
        </w:rPr>
      </w:pPr>
    </w:p>
    <w:p w:rsidR="00141E2A" w:rsidRPr="00141E2A" w:rsidRDefault="00141E2A" w:rsidP="00141E2A">
      <w:pPr>
        <w:ind w:left="720"/>
        <w:contextualSpacing/>
        <w:rPr>
          <w:rFonts w:ascii="Cambria" w:eastAsia="Calibri" w:hAnsi="Cambria"/>
          <w:sz w:val="24"/>
          <w:szCs w:val="24"/>
        </w:rPr>
      </w:pPr>
      <w:r w:rsidRPr="00141E2A">
        <w:rPr>
          <w:rFonts w:ascii="Cambria" w:eastAsia="Calibri" w:hAnsi="Cambria"/>
          <w:sz w:val="24"/>
          <w:szCs w:val="24"/>
        </w:rPr>
        <w:t xml:space="preserve">“Increase knowledge of economic systems and their effect on clients’ career development.” </w:t>
      </w:r>
    </w:p>
    <w:p w:rsidR="00141E2A" w:rsidRPr="00141E2A" w:rsidRDefault="00141E2A" w:rsidP="00141E2A">
      <w:pPr>
        <w:ind w:left="720"/>
        <w:contextualSpacing/>
        <w:rPr>
          <w:rFonts w:ascii="Cambria" w:eastAsia="Calibri" w:hAnsi="Cambria"/>
          <w:sz w:val="24"/>
          <w:szCs w:val="24"/>
        </w:rPr>
      </w:pPr>
    </w:p>
    <w:p w:rsidR="00141E2A" w:rsidRPr="00141E2A" w:rsidRDefault="00141E2A" w:rsidP="00141E2A">
      <w:pPr>
        <w:ind w:left="720"/>
        <w:contextualSpacing/>
        <w:rPr>
          <w:rFonts w:ascii="Cambria" w:eastAsia="Calibri" w:hAnsi="Cambria"/>
          <w:sz w:val="24"/>
          <w:szCs w:val="24"/>
        </w:rPr>
      </w:pPr>
      <w:r w:rsidRPr="00141E2A">
        <w:rPr>
          <w:rFonts w:ascii="Cambria" w:eastAsia="Calibri" w:hAnsi="Cambria"/>
          <w:sz w:val="24"/>
          <w:szCs w:val="24"/>
        </w:rPr>
        <w:t>“Become knowledgeable about resources used to address systemic barriers (</w:t>
      </w:r>
      <w:proofErr w:type="spellStart"/>
      <w:r w:rsidRPr="00141E2A">
        <w:rPr>
          <w:rFonts w:ascii="Cambria" w:eastAsia="Calibri" w:hAnsi="Cambria"/>
          <w:sz w:val="24"/>
          <w:szCs w:val="24"/>
        </w:rPr>
        <w:t>e,g</w:t>
      </w:r>
      <w:proofErr w:type="spellEnd"/>
      <w:r w:rsidRPr="00141E2A">
        <w:rPr>
          <w:rFonts w:ascii="Cambria" w:eastAsia="Calibri" w:hAnsi="Cambria"/>
          <w:sz w:val="24"/>
          <w:szCs w:val="24"/>
        </w:rPr>
        <w:t xml:space="preserve">, financial assistance, legal rights), as well as developing multilingual methods for communicating these resources to clients (e.g. having Spanish language materials for ESL clients).” </w:t>
      </w:r>
    </w:p>
    <w:p w:rsidR="00141E2A" w:rsidRPr="00141E2A" w:rsidRDefault="00141E2A" w:rsidP="00141E2A">
      <w:pPr>
        <w:contextualSpacing/>
        <w:rPr>
          <w:rFonts w:ascii="Cambria" w:eastAsia="Calibri" w:hAnsi="Cambria"/>
          <w:sz w:val="24"/>
          <w:szCs w:val="24"/>
        </w:rPr>
      </w:pPr>
    </w:p>
    <w:p w:rsidR="00141E2A" w:rsidRPr="00141E2A" w:rsidRDefault="00141E2A" w:rsidP="00141E2A">
      <w:pPr>
        <w:contextualSpacing/>
        <w:rPr>
          <w:rFonts w:ascii="Cambria" w:eastAsia="Calibri" w:hAnsi="Cambria"/>
          <w:sz w:val="24"/>
          <w:szCs w:val="24"/>
        </w:rPr>
      </w:pPr>
      <w:r w:rsidRPr="00141E2A">
        <w:rPr>
          <w:rFonts w:ascii="Cambria" w:eastAsia="Calibri" w:hAnsi="Cambria"/>
          <w:sz w:val="24"/>
          <w:szCs w:val="24"/>
        </w:rPr>
        <w:t>This issue clearly has a strong connection to the NCDA mission of “providing professional development” to career development practitioners (NCDA Mission Statement, 2012). NCDA might act on this item in the following ways.</w:t>
      </w:r>
    </w:p>
    <w:p w:rsidR="00141E2A" w:rsidRPr="00141E2A" w:rsidRDefault="00141E2A" w:rsidP="00141E2A">
      <w:pPr>
        <w:contextualSpacing/>
        <w:rPr>
          <w:rFonts w:ascii="Cambria" w:eastAsia="Calibri" w:hAnsi="Cambria"/>
          <w:sz w:val="24"/>
          <w:szCs w:val="24"/>
        </w:rPr>
      </w:pPr>
    </w:p>
    <w:p w:rsidR="00141E2A" w:rsidRPr="00141E2A" w:rsidRDefault="00141E2A" w:rsidP="00141E2A">
      <w:pPr>
        <w:numPr>
          <w:ilvl w:val="0"/>
          <w:numId w:val="6"/>
        </w:numPr>
        <w:spacing w:after="200" w:line="276" w:lineRule="auto"/>
        <w:contextualSpacing/>
        <w:rPr>
          <w:rFonts w:ascii="Cambria" w:hAnsi="Cambria"/>
          <w:sz w:val="24"/>
          <w:szCs w:val="24"/>
        </w:rPr>
      </w:pPr>
      <w:r w:rsidRPr="00141E2A">
        <w:rPr>
          <w:rFonts w:ascii="Cambria" w:hAnsi="Cambria"/>
          <w:sz w:val="24"/>
          <w:szCs w:val="24"/>
        </w:rPr>
        <w:t xml:space="preserve">Intentionally solicit presentation proposals for the 2013 NCDA conference in Boston that address the issues put forth in the above items. Further, to ensure that a significant number of such presentations occur, a certain number of presentation </w:t>
      </w:r>
      <w:r w:rsidRPr="00141E2A">
        <w:rPr>
          <w:rFonts w:ascii="Cambria" w:hAnsi="Cambria"/>
          <w:sz w:val="24"/>
          <w:szCs w:val="24"/>
        </w:rPr>
        <w:lastRenderedPageBreak/>
        <w:t xml:space="preserve">“slots” could be set aside for said purposes. This would provide opportunity for quality professional development about these issues. </w:t>
      </w:r>
    </w:p>
    <w:p w:rsidR="00141E2A" w:rsidRPr="00141E2A" w:rsidRDefault="00141E2A" w:rsidP="00141E2A">
      <w:pPr>
        <w:numPr>
          <w:ilvl w:val="0"/>
          <w:numId w:val="6"/>
        </w:numPr>
        <w:spacing w:after="200" w:line="276" w:lineRule="auto"/>
        <w:contextualSpacing/>
        <w:rPr>
          <w:rFonts w:ascii="Cambria" w:hAnsi="Cambria"/>
          <w:sz w:val="24"/>
          <w:szCs w:val="24"/>
        </w:rPr>
      </w:pPr>
      <w:r w:rsidRPr="00141E2A">
        <w:rPr>
          <w:rFonts w:ascii="Cambria" w:hAnsi="Cambria"/>
          <w:sz w:val="24"/>
          <w:szCs w:val="24"/>
        </w:rPr>
        <w:t xml:space="preserve">Create a session/booth at the NCDA 2013 conference showcasing the multicultural career development resources (i.e. </w:t>
      </w:r>
      <w:r w:rsidRPr="00141E2A">
        <w:rPr>
          <w:rFonts w:ascii="Cambria" w:hAnsi="Cambria"/>
          <w:i/>
          <w:sz w:val="24"/>
          <w:szCs w:val="24"/>
        </w:rPr>
        <w:t>Resources for Diverse Audiences)</w:t>
      </w:r>
      <w:r w:rsidRPr="00141E2A">
        <w:rPr>
          <w:rFonts w:ascii="Cambria" w:hAnsi="Cambria"/>
          <w:sz w:val="24"/>
          <w:szCs w:val="24"/>
        </w:rPr>
        <w:t xml:space="preserve"> located on the NCDA website.</w:t>
      </w:r>
    </w:p>
    <w:p w:rsidR="00141E2A" w:rsidRPr="00141E2A" w:rsidRDefault="00141E2A" w:rsidP="00141E2A">
      <w:pPr>
        <w:numPr>
          <w:ilvl w:val="0"/>
          <w:numId w:val="6"/>
        </w:numPr>
        <w:spacing w:after="200" w:line="276" w:lineRule="auto"/>
        <w:contextualSpacing/>
        <w:rPr>
          <w:rFonts w:ascii="Cambria" w:hAnsi="Cambria"/>
          <w:sz w:val="24"/>
          <w:szCs w:val="24"/>
        </w:rPr>
      </w:pPr>
      <w:r w:rsidRPr="00141E2A">
        <w:rPr>
          <w:rFonts w:ascii="Cambria" w:hAnsi="Cambria"/>
          <w:sz w:val="24"/>
          <w:szCs w:val="24"/>
        </w:rPr>
        <w:t>As the board moves forward in making choices about internal publications (e.g. monographs), it would also be prudent to include foci for such publications that address the issues put forth in the items above.</w:t>
      </w:r>
    </w:p>
    <w:p w:rsidR="00141E2A" w:rsidRPr="00141E2A" w:rsidRDefault="00141E2A" w:rsidP="00141E2A">
      <w:pPr>
        <w:numPr>
          <w:ilvl w:val="0"/>
          <w:numId w:val="6"/>
        </w:numPr>
        <w:spacing w:after="200" w:line="276" w:lineRule="auto"/>
        <w:contextualSpacing/>
        <w:rPr>
          <w:rFonts w:ascii="Cambria" w:hAnsi="Cambria"/>
          <w:sz w:val="24"/>
          <w:szCs w:val="24"/>
        </w:rPr>
      </w:pPr>
      <w:r w:rsidRPr="00141E2A">
        <w:rPr>
          <w:rFonts w:ascii="Cambria" w:hAnsi="Cambria"/>
          <w:sz w:val="24"/>
          <w:szCs w:val="24"/>
        </w:rPr>
        <w:t>Solicit and endorse a proposed PDI for the 2013 ACA conference that addresses the issues put forth in these items.</w:t>
      </w:r>
    </w:p>
    <w:p w:rsidR="00141E2A" w:rsidRPr="00141E2A" w:rsidRDefault="00141E2A" w:rsidP="00141E2A">
      <w:pPr>
        <w:numPr>
          <w:ilvl w:val="0"/>
          <w:numId w:val="6"/>
        </w:numPr>
        <w:spacing w:after="200" w:line="276" w:lineRule="auto"/>
        <w:contextualSpacing/>
        <w:rPr>
          <w:rFonts w:ascii="Cambria" w:hAnsi="Cambria"/>
          <w:sz w:val="24"/>
          <w:szCs w:val="24"/>
        </w:rPr>
      </w:pPr>
      <w:r w:rsidRPr="00141E2A">
        <w:rPr>
          <w:rFonts w:ascii="Cambria" w:hAnsi="Cambria"/>
          <w:sz w:val="24"/>
          <w:szCs w:val="24"/>
        </w:rPr>
        <w:t xml:space="preserve">Create a special edition of the </w:t>
      </w:r>
      <w:r w:rsidRPr="00141E2A">
        <w:rPr>
          <w:rFonts w:ascii="Cambria" w:hAnsi="Cambria"/>
          <w:i/>
          <w:sz w:val="24"/>
          <w:szCs w:val="24"/>
        </w:rPr>
        <w:t>Career Development Quarterly</w:t>
      </w:r>
      <w:r w:rsidRPr="00141E2A">
        <w:rPr>
          <w:rFonts w:ascii="Cambria" w:hAnsi="Cambria"/>
          <w:sz w:val="24"/>
          <w:szCs w:val="24"/>
        </w:rPr>
        <w:t xml:space="preserve"> that addresses these issues.</w:t>
      </w:r>
    </w:p>
    <w:p w:rsidR="00141E2A" w:rsidRPr="00141E2A" w:rsidRDefault="00141E2A" w:rsidP="00141E2A">
      <w:pPr>
        <w:ind w:left="720"/>
        <w:contextualSpacing/>
        <w:rPr>
          <w:rFonts w:ascii="Cambria" w:hAnsi="Cambria"/>
          <w:sz w:val="24"/>
          <w:szCs w:val="24"/>
        </w:rPr>
      </w:pPr>
    </w:p>
    <w:p w:rsidR="00141E2A" w:rsidRPr="00141E2A" w:rsidRDefault="00141E2A" w:rsidP="00141E2A">
      <w:pPr>
        <w:contextualSpacing/>
        <w:rPr>
          <w:rFonts w:ascii="Cambria" w:eastAsia="Calibri" w:hAnsi="Cambria"/>
          <w:b/>
          <w:sz w:val="24"/>
          <w:szCs w:val="24"/>
        </w:rPr>
      </w:pPr>
      <w:r w:rsidRPr="00141E2A">
        <w:rPr>
          <w:rFonts w:ascii="Cambria" w:eastAsia="Calibri" w:hAnsi="Cambria"/>
          <w:b/>
          <w:sz w:val="24"/>
          <w:szCs w:val="24"/>
        </w:rPr>
        <w:t>Issue 2 – Advocacy &amp; Awareness</w:t>
      </w:r>
    </w:p>
    <w:p w:rsidR="00141E2A" w:rsidRPr="00141E2A" w:rsidRDefault="00141E2A" w:rsidP="00141E2A">
      <w:pPr>
        <w:contextualSpacing/>
        <w:rPr>
          <w:rFonts w:ascii="Cambria" w:eastAsia="Calibri" w:hAnsi="Cambria"/>
          <w:sz w:val="24"/>
          <w:szCs w:val="24"/>
        </w:rPr>
      </w:pPr>
      <w:r w:rsidRPr="00141E2A">
        <w:rPr>
          <w:rFonts w:ascii="Cambria" w:eastAsia="Calibri" w:hAnsi="Cambria"/>
          <w:sz w:val="24"/>
          <w:szCs w:val="24"/>
        </w:rPr>
        <w:t>This issue was also one of the four main categories of action items put forth by the expert panel. Below are some examples of these items.</w:t>
      </w:r>
    </w:p>
    <w:p w:rsidR="00141E2A" w:rsidRPr="00141E2A" w:rsidRDefault="00141E2A" w:rsidP="00141E2A">
      <w:pPr>
        <w:contextualSpacing/>
        <w:rPr>
          <w:rFonts w:ascii="Cambria" w:eastAsia="Calibri" w:hAnsi="Cambria"/>
          <w:sz w:val="24"/>
          <w:szCs w:val="24"/>
        </w:rPr>
      </w:pPr>
    </w:p>
    <w:p w:rsidR="00141E2A" w:rsidRPr="00141E2A" w:rsidRDefault="00141E2A" w:rsidP="00141E2A">
      <w:pPr>
        <w:ind w:left="720"/>
        <w:contextualSpacing/>
        <w:rPr>
          <w:rFonts w:ascii="Cambria" w:eastAsia="Calibri" w:hAnsi="Cambria"/>
          <w:sz w:val="24"/>
          <w:szCs w:val="24"/>
        </w:rPr>
      </w:pPr>
      <w:r w:rsidRPr="00141E2A">
        <w:rPr>
          <w:rFonts w:ascii="Cambria" w:eastAsia="Calibri" w:hAnsi="Cambria"/>
          <w:sz w:val="24"/>
          <w:szCs w:val="24"/>
        </w:rPr>
        <w:t xml:space="preserve"> “Increase knowledge, </w:t>
      </w:r>
      <w:r w:rsidRPr="00141E2A">
        <w:rPr>
          <w:rFonts w:ascii="Cambria" w:eastAsia="Calibri" w:hAnsi="Cambria"/>
          <w:i/>
          <w:sz w:val="24"/>
          <w:szCs w:val="24"/>
        </w:rPr>
        <w:t xml:space="preserve">awareness </w:t>
      </w:r>
      <w:r w:rsidRPr="00141E2A">
        <w:rPr>
          <w:rFonts w:ascii="Cambria" w:eastAsia="Calibri" w:hAnsi="Cambria"/>
          <w:sz w:val="24"/>
          <w:szCs w:val="24"/>
        </w:rPr>
        <w:t xml:space="preserve">and counseling skills in regard to contextual and cultural factors’ influence on the career development of traditionally marginalized populations” </w:t>
      </w:r>
    </w:p>
    <w:p w:rsidR="00141E2A" w:rsidRPr="00141E2A" w:rsidRDefault="00141E2A" w:rsidP="00141E2A">
      <w:pPr>
        <w:ind w:left="720"/>
        <w:contextualSpacing/>
        <w:rPr>
          <w:rFonts w:ascii="Cambria" w:eastAsia="Calibri" w:hAnsi="Cambria"/>
          <w:sz w:val="24"/>
          <w:szCs w:val="24"/>
        </w:rPr>
      </w:pPr>
    </w:p>
    <w:p w:rsidR="00141E2A" w:rsidRPr="00141E2A" w:rsidRDefault="00141E2A" w:rsidP="00141E2A">
      <w:pPr>
        <w:ind w:left="720"/>
        <w:contextualSpacing/>
        <w:rPr>
          <w:rFonts w:ascii="Cambria" w:eastAsia="Calibri" w:hAnsi="Cambria"/>
          <w:sz w:val="24"/>
          <w:szCs w:val="24"/>
        </w:rPr>
      </w:pPr>
      <w:r w:rsidRPr="00141E2A">
        <w:rPr>
          <w:rFonts w:ascii="Cambria" w:eastAsia="Calibri" w:hAnsi="Cambria"/>
          <w:sz w:val="24"/>
          <w:szCs w:val="24"/>
        </w:rPr>
        <w:t xml:space="preserve">“Advocate for the career development field to re-engage with its roots in social justice through practice, training, research and theory” </w:t>
      </w:r>
    </w:p>
    <w:p w:rsidR="00141E2A" w:rsidRPr="00141E2A" w:rsidRDefault="00141E2A" w:rsidP="00141E2A">
      <w:pPr>
        <w:ind w:left="720"/>
        <w:contextualSpacing/>
        <w:rPr>
          <w:rFonts w:ascii="Cambria" w:eastAsia="Calibri" w:hAnsi="Cambria"/>
          <w:sz w:val="24"/>
          <w:szCs w:val="24"/>
        </w:rPr>
      </w:pPr>
    </w:p>
    <w:p w:rsidR="00141E2A" w:rsidRPr="00141E2A" w:rsidRDefault="00141E2A" w:rsidP="00141E2A">
      <w:pPr>
        <w:ind w:left="720"/>
        <w:contextualSpacing/>
        <w:rPr>
          <w:rFonts w:ascii="Cambria" w:eastAsia="Calibri" w:hAnsi="Cambria"/>
          <w:sz w:val="24"/>
          <w:szCs w:val="24"/>
        </w:rPr>
      </w:pPr>
      <w:r w:rsidRPr="00141E2A">
        <w:rPr>
          <w:rFonts w:ascii="Cambria" w:eastAsia="Calibri" w:hAnsi="Cambria"/>
          <w:sz w:val="24"/>
          <w:szCs w:val="24"/>
        </w:rPr>
        <w:t xml:space="preserve">“Advocate for increased access to, and support for, educational opportunities for traditionally marginalized populations” </w:t>
      </w:r>
    </w:p>
    <w:p w:rsidR="00141E2A" w:rsidRPr="00141E2A" w:rsidRDefault="00141E2A" w:rsidP="00141E2A">
      <w:pPr>
        <w:ind w:left="720"/>
        <w:contextualSpacing/>
        <w:rPr>
          <w:rFonts w:ascii="Cambria" w:eastAsia="Calibri" w:hAnsi="Cambria"/>
          <w:sz w:val="24"/>
          <w:szCs w:val="24"/>
        </w:rPr>
      </w:pPr>
    </w:p>
    <w:p w:rsidR="00141E2A" w:rsidRPr="00141E2A" w:rsidRDefault="00141E2A" w:rsidP="00141E2A">
      <w:pPr>
        <w:ind w:left="720"/>
        <w:contextualSpacing/>
        <w:rPr>
          <w:rFonts w:ascii="Cambria" w:eastAsia="Calibri" w:hAnsi="Cambria"/>
          <w:sz w:val="24"/>
          <w:szCs w:val="24"/>
        </w:rPr>
      </w:pPr>
      <w:r w:rsidRPr="00141E2A">
        <w:rPr>
          <w:rFonts w:ascii="Cambria" w:eastAsia="Calibri" w:hAnsi="Cambria"/>
          <w:sz w:val="24"/>
          <w:szCs w:val="24"/>
        </w:rPr>
        <w:t xml:space="preserve">“Advocate for legislation and public funding that addresses unfair structures and practices related to the career development of traditionally marginalized populations, and do so collaboratively with such populations when possible” </w:t>
      </w:r>
    </w:p>
    <w:p w:rsidR="00141E2A" w:rsidRPr="00141E2A" w:rsidRDefault="00141E2A" w:rsidP="00141E2A">
      <w:pPr>
        <w:ind w:left="720"/>
        <w:contextualSpacing/>
        <w:rPr>
          <w:rFonts w:ascii="Cambria" w:eastAsia="Calibri" w:hAnsi="Cambria"/>
          <w:sz w:val="24"/>
          <w:szCs w:val="24"/>
        </w:rPr>
      </w:pPr>
    </w:p>
    <w:p w:rsidR="00141E2A" w:rsidRPr="00141E2A" w:rsidRDefault="00141E2A" w:rsidP="00141E2A">
      <w:pPr>
        <w:ind w:left="720"/>
        <w:contextualSpacing/>
        <w:rPr>
          <w:rFonts w:ascii="Cambria" w:eastAsia="Calibri" w:hAnsi="Cambria"/>
          <w:sz w:val="24"/>
          <w:szCs w:val="24"/>
        </w:rPr>
      </w:pPr>
      <w:r w:rsidRPr="00141E2A">
        <w:rPr>
          <w:rFonts w:ascii="Cambria" w:eastAsia="Calibri" w:hAnsi="Cambria"/>
          <w:sz w:val="24"/>
          <w:szCs w:val="24"/>
        </w:rPr>
        <w:t>“Advocate that employers increase awareness (e.g. the value of marginalized workers), implement training (e.g. challenging occupational stereotypes and implicit biases), and develop policies that increase access and equity for traditionally marginalized populations.”</w:t>
      </w:r>
    </w:p>
    <w:p w:rsidR="00141E2A" w:rsidRPr="00141E2A" w:rsidRDefault="00141E2A" w:rsidP="00141E2A">
      <w:pPr>
        <w:contextualSpacing/>
        <w:rPr>
          <w:rFonts w:ascii="Cambria" w:eastAsia="Calibri" w:hAnsi="Cambria"/>
          <w:sz w:val="24"/>
          <w:szCs w:val="24"/>
        </w:rPr>
      </w:pPr>
    </w:p>
    <w:p w:rsidR="00141E2A" w:rsidRPr="00141E2A" w:rsidRDefault="00141E2A" w:rsidP="00141E2A">
      <w:pPr>
        <w:contextualSpacing/>
        <w:rPr>
          <w:rFonts w:ascii="Cambria" w:eastAsia="Calibri" w:hAnsi="Cambria"/>
          <w:sz w:val="24"/>
          <w:szCs w:val="24"/>
        </w:rPr>
      </w:pPr>
      <w:r w:rsidRPr="00141E2A">
        <w:rPr>
          <w:rFonts w:ascii="Cambria" w:eastAsia="Calibri" w:hAnsi="Cambria"/>
          <w:sz w:val="24"/>
          <w:szCs w:val="24"/>
        </w:rPr>
        <w:t>These items are also clearly linked to NCDA’s commitment to advocacy (NCDA Mission Statement, 2012). What follows are possible action steps in regard to advocacy and awareness.</w:t>
      </w:r>
    </w:p>
    <w:p w:rsidR="00141E2A" w:rsidRPr="00141E2A" w:rsidRDefault="00141E2A" w:rsidP="00141E2A">
      <w:pPr>
        <w:contextualSpacing/>
        <w:rPr>
          <w:rFonts w:ascii="Cambria" w:eastAsia="Calibri" w:hAnsi="Cambria"/>
          <w:sz w:val="24"/>
          <w:szCs w:val="24"/>
        </w:rPr>
      </w:pPr>
    </w:p>
    <w:p w:rsidR="00141E2A" w:rsidRPr="00141E2A" w:rsidRDefault="00141E2A" w:rsidP="00141E2A">
      <w:pPr>
        <w:numPr>
          <w:ilvl w:val="0"/>
          <w:numId w:val="6"/>
        </w:numPr>
        <w:spacing w:after="200" w:line="276" w:lineRule="auto"/>
        <w:contextualSpacing/>
        <w:rPr>
          <w:rFonts w:ascii="Cambria" w:hAnsi="Cambria"/>
          <w:sz w:val="24"/>
          <w:szCs w:val="24"/>
        </w:rPr>
      </w:pPr>
      <w:r w:rsidRPr="00141E2A">
        <w:rPr>
          <w:rFonts w:ascii="Cambria" w:hAnsi="Cambria"/>
          <w:sz w:val="24"/>
          <w:szCs w:val="24"/>
        </w:rPr>
        <w:t>Include awareness of the issues explicated in these items in the NCDA Legislative Agenda (2012). While this agenda certainly touches on issues connected to contextual and cultural factors’ influence on the career development of traditionally marginalized populations, there is no clear mission within the legislative agenda to raise awareness about, or push for action in regard to, such issues as the ones above.</w:t>
      </w:r>
    </w:p>
    <w:p w:rsidR="00141E2A" w:rsidRPr="00141E2A" w:rsidRDefault="00141E2A" w:rsidP="00141E2A">
      <w:pPr>
        <w:numPr>
          <w:ilvl w:val="0"/>
          <w:numId w:val="6"/>
        </w:numPr>
        <w:spacing w:after="200" w:line="276" w:lineRule="auto"/>
        <w:contextualSpacing/>
        <w:rPr>
          <w:rFonts w:ascii="Cambria" w:hAnsi="Cambria"/>
          <w:sz w:val="24"/>
          <w:szCs w:val="24"/>
        </w:rPr>
      </w:pPr>
      <w:r w:rsidRPr="00141E2A">
        <w:rPr>
          <w:rFonts w:ascii="Cambria" w:hAnsi="Cambria"/>
          <w:sz w:val="24"/>
          <w:szCs w:val="24"/>
        </w:rPr>
        <w:t xml:space="preserve">Advocate within ACA (e.g., governing council rep) about the centrality of career and work to the current social justice movement within our field. It is my own subjective </w:t>
      </w:r>
      <w:r w:rsidRPr="00141E2A">
        <w:rPr>
          <w:rFonts w:ascii="Cambria" w:hAnsi="Cambria"/>
          <w:sz w:val="24"/>
          <w:szCs w:val="24"/>
        </w:rPr>
        <w:lastRenderedPageBreak/>
        <w:t>perception that career professionals are not viewed by the counseling profession at-large as being on the “forefront” of the social justice movement.  This is obviously not accurate, but may be an important issue to address.</w:t>
      </w:r>
    </w:p>
    <w:p w:rsidR="00141E2A" w:rsidRPr="00141E2A" w:rsidRDefault="00141E2A" w:rsidP="00141E2A">
      <w:pPr>
        <w:numPr>
          <w:ilvl w:val="0"/>
          <w:numId w:val="6"/>
        </w:numPr>
        <w:spacing w:after="200" w:line="276" w:lineRule="auto"/>
        <w:contextualSpacing/>
        <w:rPr>
          <w:rFonts w:ascii="Cambria" w:hAnsi="Cambria"/>
          <w:sz w:val="24"/>
          <w:szCs w:val="24"/>
        </w:rPr>
      </w:pPr>
      <w:r w:rsidRPr="00141E2A">
        <w:rPr>
          <w:rFonts w:ascii="Cambria" w:hAnsi="Cambria"/>
          <w:sz w:val="24"/>
          <w:szCs w:val="24"/>
        </w:rPr>
        <w:t xml:space="preserve">Create an advocacy agenda in relation to employers’ engagement with traditionally marginalized populations. This is a potential method for meeting some of the professional development and networking needs that NACE members may have. For instance, how might NCDA advocate with employers about the value diverse individuals bring to the workplace? This is a more vague suggestion, and depends on NCDA’s current relationships with employers, as well as the board’s philosophy on engagement with employers. </w:t>
      </w:r>
    </w:p>
    <w:p w:rsidR="00141E2A" w:rsidRPr="00141E2A" w:rsidRDefault="00141E2A" w:rsidP="00141E2A">
      <w:pPr>
        <w:spacing w:after="200" w:line="276" w:lineRule="auto"/>
        <w:rPr>
          <w:rFonts w:ascii="Cambria" w:eastAsia="Calibri" w:hAnsi="Cambria"/>
          <w:sz w:val="22"/>
          <w:szCs w:val="22"/>
        </w:rPr>
      </w:pPr>
    </w:p>
    <w:p w:rsidR="00141E2A" w:rsidRPr="00141E2A" w:rsidRDefault="00141E2A" w:rsidP="00141E2A">
      <w:pPr>
        <w:spacing w:after="200" w:line="276" w:lineRule="auto"/>
        <w:jc w:val="center"/>
        <w:rPr>
          <w:rFonts w:ascii="Cambria" w:eastAsia="Calibri" w:hAnsi="Cambria"/>
          <w:b/>
          <w:sz w:val="24"/>
          <w:szCs w:val="24"/>
        </w:rPr>
      </w:pPr>
      <w:r w:rsidRPr="00141E2A">
        <w:rPr>
          <w:rFonts w:ascii="Cambria" w:eastAsia="Calibri" w:hAnsi="Cambria"/>
          <w:b/>
          <w:sz w:val="24"/>
          <w:szCs w:val="24"/>
        </w:rPr>
        <w:t>Summary</w:t>
      </w:r>
    </w:p>
    <w:p w:rsidR="00141E2A" w:rsidRPr="00141E2A" w:rsidRDefault="00141E2A" w:rsidP="00141E2A">
      <w:pPr>
        <w:spacing w:after="200" w:line="276" w:lineRule="auto"/>
        <w:rPr>
          <w:rFonts w:ascii="Cambria" w:eastAsia="Calibri" w:hAnsi="Cambria"/>
          <w:sz w:val="24"/>
          <w:szCs w:val="24"/>
        </w:rPr>
      </w:pPr>
      <w:r w:rsidRPr="00141E2A">
        <w:rPr>
          <w:rFonts w:ascii="Cambria" w:eastAsia="Calibri" w:hAnsi="Cambria"/>
          <w:sz w:val="24"/>
          <w:szCs w:val="24"/>
        </w:rPr>
        <w:tab/>
        <w:t xml:space="preserve">The above recommendations represent initial ideas for taking concrete steps toward improving the career development and work experience of traditionally marginalized populations. Taking such action is particularly important give the current economic climate, and the disproportionate toll it is taking on such populations. Of course, these recommendations are only a small subset of what might be done, but the important thing is that </w:t>
      </w:r>
      <w:r w:rsidRPr="00141E2A">
        <w:rPr>
          <w:rFonts w:ascii="Cambria" w:eastAsia="Calibri" w:hAnsi="Cambria"/>
          <w:i/>
          <w:sz w:val="24"/>
          <w:szCs w:val="24"/>
        </w:rPr>
        <w:t>some</w:t>
      </w:r>
      <w:r w:rsidRPr="00141E2A">
        <w:rPr>
          <w:rFonts w:ascii="Cambria" w:eastAsia="Calibri" w:hAnsi="Cambria"/>
          <w:sz w:val="24"/>
          <w:szCs w:val="24"/>
        </w:rPr>
        <w:t xml:space="preserve"> action be taken. NCDA is a nationally and internationally recognized organization, and has the power and influence to make large steps forward in the movement toward a more just and humane world for workers world-wide. What is standing between where we are now and a more livable and workable world for everyone? The tough work that organizations such as NCDA were created to do. </w:t>
      </w:r>
    </w:p>
    <w:p w:rsidR="00141E2A" w:rsidRDefault="00141E2A" w:rsidP="00141E2A">
      <w:pPr>
        <w:spacing w:after="200" w:line="276" w:lineRule="auto"/>
        <w:rPr>
          <w:rFonts w:ascii="Cambria" w:eastAsia="Calibri" w:hAnsi="Cambria"/>
          <w:sz w:val="24"/>
          <w:szCs w:val="24"/>
        </w:rPr>
      </w:pPr>
    </w:p>
    <w:p w:rsidR="00F82E51" w:rsidRDefault="00F82E51" w:rsidP="00141E2A">
      <w:pPr>
        <w:spacing w:after="200" w:line="276" w:lineRule="auto"/>
        <w:rPr>
          <w:rFonts w:ascii="Cambria" w:eastAsia="Calibri" w:hAnsi="Cambria"/>
          <w:sz w:val="24"/>
          <w:szCs w:val="24"/>
        </w:rPr>
      </w:pPr>
      <w:bookmarkStart w:id="0" w:name="_GoBack"/>
      <w:bookmarkEnd w:id="0"/>
    </w:p>
    <w:p w:rsidR="00141E2A" w:rsidRDefault="00141E2A" w:rsidP="00141E2A">
      <w:pPr>
        <w:spacing w:after="200" w:line="276" w:lineRule="auto"/>
        <w:rPr>
          <w:rFonts w:ascii="Cambria" w:eastAsia="Calibri" w:hAnsi="Cambria"/>
          <w:sz w:val="24"/>
          <w:szCs w:val="24"/>
        </w:rPr>
      </w:pPr>
    </w:p>
    <w:p w:rsidR="00141E2A" w:rsidRDefault="00141E2A" w:rsidP="00141E2A">
      <w:pPr>
        <w:spacing w:after="200" w:line="276" w:lineRule="auto"/>
        <w:rPr>
          <w:rFonts w:ascii="Cambria" w:eastAsia="Calibri" w:hAnsi="Cambria"/>
          <w:sz w:val="24"/>
          <w:szCs w:val="24"/>
        </w:rPr>
      </w:pPr>
    </w:p>
    <w:p w:rsidR="00141E2A" w:rsidRDefault="00141E2A" w:rsidP="00141E2A">
      <w:pPr>
        <w:spacing w:after="200" w:line="276" w:lineRule="auto"/>
        <w:rPr>
          <w:rFonts w:ascii="Cambria" w:eastAsia="Calibri" w:hAnsi="Cambria"/>
          <w:sz w:val="24"/>
          <w:szCs w:val="24"/>
        </w:rPr>
      </w:pPr>
    </w:p>
    <w:p w:rsidR="00141E2A" w:rsidRDefault="00141E2A" w:rsidP="00141E2A">
      <w:pPr>
        <w:spacing w:after="200" w:line="276" w:lineRule="auto"/>
        <w:rPr>
          <w:rFonts w:ascii="Cambria" w:eastAsia="Calibri" w:hAnsi="Cambria"/>
          <w:sz w:val="24"/>
          <w:szCs w:val="24"/>
        </w:rPr>
      </w:pPr>
    </w:p>
    <w:p w:rsidR="00141E2A" w:rsidRDefault="00141E2A" w:rsidP="00141E2A">
      <w:pPr>
        <w:spacing w:after="200" w:line="276" w:lineRule="auto"/>
        <w:rPr>
          <w:rFonts w:ascii="Cambria" w:eastAsia="Calibri" w:hAnsi="Cambria"/>
          <w:sz w:val="24"/>
          <w:szCs w:val="24"/>
        </w:rPr>
      </w:pPr>
    </w:p>
    <w:p w:rsidR="00141E2A" w:rsidRDefault="00141E2A" w:rsidP="00141E2A">
      <w:pPr>
        <w:spacing w:after="200" w:line="276" w:lineRule="auto"/>
        <w:rPr>
          <w:rFonts w:ascii="Cambria" w:eastAsia="Calibri" w:hAnsi="Cambria"/>
          <w:sz w:val="24"/>
          <w:szCs w:val="24"/>
        </w:rPr>
      </w:pPr>
    </w:p>
    <w:p w:rsidR="00141E2A" w:rsidRDefault="00141E2A" w:rsidP="00141E2A">
      <w:pPr>
        <w:spacing w:after="200" w:line="276" w:lineRule="auto"/>
        <w:rPr>
          <w:rFonts w:ascii="Cambria" w:eastAsia="Calibri" w:hAnsi="Cambria"/>
          <w:sz w:val="24"/>
          <w:szCs w:val="24"/>
        </w:rPr>
      </w:pPr>
    </w:p>
    <w:p w:rsidR="008B6777" w:rsidRDefault="008B6777" w:rsidP="00141E2A">
      <w:pPr>
        <w:spacing w:after="200" w:line="276" w:lineRule="auto"/>
        <w:rPr>
          <w:rFonts w:ascii="Cambria" w:eastAsia="Calibri" w:hAnsi="Cambria"/>
          <w:sz w:val="24"/>
          <w:szCs w:val="24"/>
        </w:rPr>
      </w:pPr>
    </w:p>
    <w:p w:rsidR="00141E2A" w:rsidRDefault="00141E2A" w:rsidP="00141E2A">
      <w:pPr>
        <w:spacing w:after="200" w:line="276" w:lineRule="auto"/>
        <w:rPr>
          <w:rFonts w:ascii="Cambria" w:eastAsia="Calibri" w:hAnsi="Cambria"/>
          <w:sz w:val="24"/>
          <w:szCs w:val="24"/>
        </w:rPr>
      </w:pPr>
    </w:p>
    <w:p w:rsidR="00141E2A" w:rsidRDefault="00141E2A" w:rsidP="00141E2A">
      <w:pPr>
        <w:spacing w:after="200" w:line="276" w:lineRule="auto"/>
        <w:rPr>
          <w:rFonts w:ascii="Cambria" w:eastAsia="Calibri" w:hAnsi="Cambria"/>
          <w:sz w:val="24"/>
          <w:szCs w:val="24"/>
        </w:rPr>
      </w:pPr>
    </w:p>
    <w:p w:rsidR="00141E2A" w:rsidRPr="00141E2A" w:rsidRDefault="00141E2A" w:rsidP="00141E2A">
      <w:pPr>
        <w:spacing w:after="200" w:line="276" w:lineRule="auto"/>
        <w:ind w:left="-900"/>
        <w:rPr>
          <w:rFonts w:ascii="Cambria" w:hAnsi="Cambria" w:cs="Calibri"/>
          <w:sz w:val="24"/>
          <w:szCs w:val="24"/>
        </w:rPr>
      </w:pPr>
      <w:r w:rsidRPr="00141E2A">
        <w:rPr>
          <w:rFonts w:ascii="Cambria" w:hAnsi="Cambria" w:cs="Calibri"/>
          <w:sz w:val="24"/>
          <w:szCs w:val="24"/>
        </w:rPr>
        <w:lastRenderedPageBreak/>
        <w:t>Table 1 – Action Item Rankings</w:t>
      </w:r>
      <w:r w:rsidR="00F82E51">
        <w:rPr>
          <w:rFonts w:ascii="Cambria" w:hAnsi="Cambria" w:cs="Calibri"/>
          <w:sz w:val="24"/>
          <w:szCs w:val="24"/>
        </w:rPr>
        <w:t xml:space="preserve"> (5 point scale where 1 = “item should be addressed within 5 years”, and 5 = “Item should be addressed immediately”)</w:t>
      </w:r>
    </w:p>
    <w:tbl>
      <w:tblPr>
        <w:tblW w:w="11000" w:type="dxa"/>
        <w:tblInd w:w="-882" w:type="dxa"/>
        <w:tblBorders>
          <w:top w:val="single" w:sz="2" w:space="0" w:color="auto"/>
          <w:bottom w:val="single" w:sz="2" w:space="0" w:color="auto"/>
          <w:insideH w:val="single" w:sz="2" w:space="0" w:color="auto"/>
        </w:tblBorders>
        <w:tblLook w:val="04A0" w:firstRow="1" w:lastRow="0" w:firstColumn="1" w:lastColumn="0" w:noHBand="0" w:noVBand="1"/>
      </w:tblPr>
      <w:tblGrid>
        <w:gridCol w:w="657"/>
        <w:gridCol w:w="8268"/>
        <w:gridCol w:w="1340"/>
        <w:gridCol w:w="735"/>
      </w:tblGrid>
      <w:tr w:rsidR="00141E2A" w:rsidRPr="00141E2A" w:rsidTr="00141E2A">
        <w:trPr>
          <w:trHeight w:val="288"/>
        </w:trPr>
        <w:tc>
          <w:tcPr>
            <w:tcW w:w="657" w:type="dxa"/>
            <w:tcBorders>
              <w:top w:val="single" w:sz="2" w:space="0" w:color="auto"/>
              <w:left w:val="nil"/>
              <w:bottom w:val="single" w:sz="2" w:space="0" w:color="auto"/>
              <w:right w:val="nil"/>
            </w:tcBorders>
            <w:shd w:val="clear" w:color="auto" w:fill="BFBFBF"/>
            <w:vAlign w:val="center"/>
            <w:hideMark/>
          </w:tcPr>
          <w:p w:rsidR="00141E2A" w:rsidRPr="00141E2A" w:rsidRDefault="00141E2A" w:rsidP="00141E2A">
            <w:pPr>
              <w:rPr>
                <w:rFonts w:ascii="Calibri" w:hAnsi="Calibri" w:cs="Calibri"/>
                <w:color w:val="000000"/>
                <w:sz w:val="22"/>
                <w:szCs w:val="22"/>
              </w:rPr>
            </w:pPr>
            <w:r w:rsidRPr="00141E2A">
              <w:rPr>
                <w:rFonts w:ascii="Calibri" w:hAnsi="Calibri" w:cs="Calibri"/>
                <w:color w:val="000000"/>
                <w:sz w:val="22"/>
                <w:szCs w:val="22"/>
              </w:rPr>
              <w:t>Rank</w:t>
            </w:r>
          </w:p>
        </w:tc>
        <w:tc>
          <w:tcPr>
            <w:tcW w:w="8268" w:type="dxa"/>
            <w:tcBorders>
              <w:top w:val="single" w:sz="2" w:space="0" w:color="auto"/>
              <w:left w:val="nil"/>
              <w:bottom w:val="single" w:sz="2" w:space="0" w:color="auto"/>
              <w:right w:val="nil"/>
            </w:tcBorders>
            <w:shd w:val="clear" w:color="auto" w:fill="BFBFBF"/>
            <w:vAlign w:val="center"/>
            <w:hideMark/>
          </w:tcPr>
          <w:p w:rsidR="00141E2A" w:rsidRPr="00141E2A" w:rsidRDefault="00141E2A" w:rsidP="00141E2A">
            <w:pPr>
              <w:rPr>
                <w:rFonts w:ascii="Calibri" w:hAnsi="Calibri" w:cs="Calibri"/>
                <w:color w:val="000000"/>
                <w:sz w:val="22"/>
                <w:szCs w:val="22"/>
              </w:rPr>
            </w:pPr>
            <w:r w:rsidRPr="00141E2A">
              <w:rPr>
                <w:rFonts w:ascii="Calibri" w:hAnsi="Calibri" w:cs="Calibri"/>
                <w:color w:val="000000"/>
                <w:sz w:val="22"/>
                <w:szCs w:val="22"/>
              </w:rPr>
              <w:t>Item</w:t>
            </w:r>
          </w:p>
        </w:tc>
        <w:tc>
          <w:tcPr>
            <w:tcW w:w="1340" w:type="dxa"/>
            <w:tcBorders>
              <w:top w:val="single" w:sz="2" w:space="0" w:color="auto"/>
              <w:left w:val="nil"/>
              <w:bottom w:val="single" w:sz="2" w:space="0" w:color="auto"/>
              <w:right w:val="nil"/>
            </w:tcBorders>
            <w:shd w:val="clear" w:color="auto" w:fill="BFBFBF"/>
            <w:vAlign w:val="center"/>
            <w:hideMark/>
          </w:tcPr>
          <w:p w:rsidR="00141E2A" w:rsidRPr="00141E2A" w:rsidRDefault="00141E2A" w:rsidP="00141E2A">
            <w:pPr>
              <w:rPr>
                <w:rFonts w:ascii="Calibri" w:hAnsi="Calibri" w:cs="Calibri"/>
                <w:color w:val="000000"/>
                <w:sz w:val="22"/>
                <w:szCs w:val="22"/>
              </w:rPr>
            </w:pPr>
            <w:r w:rsidRPr="00141E2A">
              <w:rPr>
                <w:rFonts w:ascii="Calibri" w:hAnsi="Calibri" w:cs="Calibri"/>
                <w:color w:val="000000"/>
                <w:sz w:val="22"/>
                <w:szCs w:val="22"/>
              </w:rPr>
              <w:t>Category</w:t>
            </w:r>
          </w:p>
        </w:tc>
        <w:tc>
          <w:tcPr>
            <w:tcW w:w="735" w:type="dxa"/>
            <w:tcBorders>
              <w:top w:val="single" w:sz="2" w:space="0" w:color="auto"/>
              <w:left w:val="nil"/>
              <w:bottom w:val="single" w:sz="2" w:space="0" w:color="auto"/>
              <w:right w:val="nil"/>
            </w:tcBorders>
            <w:shd w:val="clear" w:color="auto" w:fill="BFBFBF"/>
            <w:vAlign w:val="center"/>
            <w:hideMark/>
          </w:tcPr>
          <w:p w:rsidR="00141E2A" w:rsidRPr="00141E2A" w:rsidRDefault="00141E2A" w:rsidP="00141E2A">
            <w:pPr>
              <w:rPr>
                <w:rFonts w:ascii="Calibri" w:hAnsi="Calibri" w:cs="Calibri"/>
                <w:color w:val="000000"/>
                <w:sz w:val="22"/>
                <w:szCs w:val="22"/>
              </w:rPr>
            </w:pPr>
            <w:r w:rsidRPr="00141E2A">
              <w:rPr>
                <w:rFonts w:ascii="Calibri" w:hAnsi="Calibri" w:cs="Calibri"/>
                <w:color w:val="000000"/>
                <w:sz w:val="22"/>
                <w:szCs w:val="22"/>
              </w:rPr>
              <w:t>Mean</w:t>
            </w:r>
          </w:p>
        </w:tc>
      </w:tr>
      <w:tr w:rsidR="00141E2A" w:rsidRPr="00141E2A" w:rsidTr="00141E2A">
        <w:trPr>
          <w:trHeight w:val="864"/>
        </w:trPr>
        <w:tc>
          <w:tcPr>
            <w:tcW w:w="657"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1</w:t>
            </w:r>
          </w:p>
        </w:tc>
        <w:tc>
          <w:tcPr>
            <w:tcW w:w="8268"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Increase knowledge, awareness and counseling skills in regard to contextual and cultural factors’ influence on the career development of traditionally marginalized populations</w:t>
            </w:r>
          </w:p>
        </w:tc>
        <w:tc>
          <w:tcPr>
            <w:tcW w:w="1340"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Training</w:t>
            </w:r>
          </w:p>
        </w:tc>
        <w:tc>
          <w:tcPr>
            <w:tcW w:w="735"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4.91</w:t>
            </w:r>
          </w:p>
        </w:tc>
      </w:tr>
      <w:tr w:rsidR="00141E2A" w:rsidRPr="00141E2A" w:rsidTr="00141E2A">
        <w:trPr>
          <w:trHeight w:val="1057"/>
        </w:trPr>
        <w:tc>
          <w:tcPr>
            <w:tcW w:w="657"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2</w:t>
            </w:r>
          </w:p>
        </w:tc>
        <w:tc>
          <w:tcPr>
            <w:tcW w:w="8268"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Career counseling and programming should be culturally and contextually relevant to various traditionally marginalized population (e.g., networking, mentor development, career knowledge, and experiential learning) and should be developed in partnership with these populations when possible</w:t>
            </w:r>
          </w:p>
        </w:tc>
        <w:tc>
          <w:tcPr>
            <w:tcW w:w="1340"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Practice</w:t>
            </w:r>
          </w:p>
        </w:tc>
        <w:tc>
          <w:tcPr>
            <w:tcW w:w="735"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4.73</w:t>
            </w:r>
          </w:p>
        </w:tc>
      </w:tr>
      <w:tr w:rsidR="00141E2A" w:rsidRPr="00141E2A" w:rsidTr="00141E2A">
        <w:trPr>
          <w:trHeight w:val="400"/>
        </w:trPr>
        <w:tc>
          <w:tcPr>
            <w:tcW w:w="657"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2</w:t>
            </w:r>
          </w:p>
        </w:tc>
        <w:tc>
          <w:tcPr>
            <w:tcW w:w="8268"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Increase knowledge of economic systems and their effect on clients’ career development</w:t>
            </w:r>
          </w:p>
        </w:tc>
        <w:tc>
          <w:tcPr>
            <w:tcW w:w="1340"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Training</w:t>
            </w:r>
          </w:p>
        </w:tc>
        <w:tc>
          <w:tcPr>
            <w:tcW w:w="735"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4.73</w:t>
            </w:r>
          </w:p>
        </w:tc>
      </w:tr>
      <w:tr w:rsidR="00141E2A" w:rsidRPr="00141E2A" w:rsidTr="00141E2A">
        <w:trPr>
          <w:trHeight w:val="576"/>
        </w:trPr>
        <w:tc>
          <w:tcPr>
            <w:tcW w:w="657"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4</w:t>
            </w:r>
          </w:p>
        </w:tc>
        <w:tc>
          <w:tcPr>
            <w:tcW w:w="8268"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On college/university campuses, provide career services to marginalized students and alumni by collaborating with student and alumni organizations</w:t>
            </w:r>
          </w:p>
        </w:tc>
        <w:tc>
          <w:tcPr>
            <w:tcW w:w="1340"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Practice</w:t>
            </w:r>
          </w:p>
        </w:tc>
        <w:tc>
          <w:tcPr>
            <w:tcW w:w="735"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4.64</w:t>
            </w:r>
          </w:p>
        </w:tc>
      </w:tr>
      <w:tr w:rsidR="00141E2A" w:rsidRPr="00141E2A" w:rsidTr="00141E2A">
        <w:trPr>
          <w:trHeight w:val="571"/>
        </w:trPr>
        <w:tc>
          <w:tcPr>
            <w:tcW w:w="657"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5</w:t>
            </w:r>
          </w:p>
        </w:tc>
        <w:tc>
          <w:tcPr>
            <w:tcW w:w="8268"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Expand the vision of theory and research in the field of career development to include those who have been typically left out of the career development narrative</w:t>
            </w:r>
          </w:p>
        </w:tc>
        <w:tc>
          <w:tcPr>
            <w:tcW w:w="1340"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Theory &amp; Research</w:t>
            </w:r>
          </w:p>
        </w:tc>
        <w:tc>
          <w:tcPr>
            <w:tcW w:w="735"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4.55</w:t>
            </w:r>
          </w:p>
        </w:tc>
      </w:tr>
      <w:tr w:rsidR="00141E2A" w:rsidRPr="00141E2A" w:rsidTr="00141E2A">
        <w:trPr>
          <w:trHeight w:val="576"/>
        </w:trPr>
        <w:tc>
          <w:tcPr>
            <w:tcW w:w="657"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5</w:t>
            </w:r>
          </w:p>
        </w:tc>
        <w:tc>
          <w:tcPr>
            <w:tcW w:w="8268"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Advocate for the career development field to re-engage with its roots in social justice through practice, training, research and theory</w:t>
            </w:r>
          </w:p>
        </w:tc>
        <w:tc>
          <w:tcPr>
            <w:tcW w:w="1340"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Advocacy</w:t>
            </w:r>
          </w:p>
        </w:tc>
        <w:tc>
          <w:tcPr>
            <w:tcW w:w="735"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4.55</w:t>
            </w:r>
          </w:p>
        </w:tc>
      </w:tr>
      <w:tr w:rsidR="00141E2A" w:rsidRPr="00141E2A" w:rsidTr="00141E2A">
        <w:trPr>
          <w:trHeight w:val="864"/>
        </w:trPr>
        <w:tc>
          <w:tcPr>
            <w:tcW w:w="657"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7</w:t>
            </w:r>
          </w:p>
        </w:tc>
        <w:tc>
          <w:tcPr>
            <w:tcW w:w="8268"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Career counseling and programming should be focused on increasing self-efficacy, resilience, client strengths, and building skill sets to overcome systemic barriers (e.g. racism, sexism, educational access)</w:t>
            </w:r>
          </w:p>
        </w:tc>
        <w:tc>
          <w:tcPr>
            <w:tcW w:w="1340"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Practice</w:t>
            </w:r>
          </w:p>
        </w:tc>
        <w:tc>
          <w:tcPr>
            <w:tcW w:w="735"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4.45</w:t>
            </w:r>
          </w:p>
        </w:tc>
      </w:tr>
      <w:tr w:rsidR="00141E2A" w:rsidRPr="00141E2A" w:rsidTr="00141E2A">
        <w:trPr>
          <w:trHeight w:val="576"/>
        </w:trPr>
        <w:tc>
          <w:tcPr>
            <w:tcW w:w="657"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8</w:t>
            </w:r>
          </w:p>
        </w:tc>
        <w:tc>
          <w:tcPr>
            <w:tcW w:w="8268"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New and effective interventions should be developed in order to increase critical consciousness and skill development among marginalized clients</w:t>
            </w:r>
          </w:p>
        </w:tc>
        <w:tc>
          <w:tcPr>
            <w:tcW w:w="1340"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Theory &amp; Research</w:t>
            </w:r>
          </w:p>
        </w:tc>
        <w:tc>
          <w:tcPr>
            <w:tcW w:w="735"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4.36</w:t>
            </w:r>
          </w:p>
        </w:tc>
      </w:tr>
      <w:tr w:rsidR="00141E2A" w:rsidRPr="00141E2A" w:rsidTr="00141E2A">
        <w:trPr>
          <w:trHeight w:val="400"/>
        </w:trPr>
        <w:tc>
          <w:tcPr>
            <w:tcW w:w="657"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9</w:t>
            </w:r>
          </w:p>
        </w:tc>
        <w:tc>
          <w:tcPr>
            <w:tcW w:w="8268"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Increase clients’ knowledge of, and reframe beliefs about, various career paths and fields</w:t>
            </w:r>
          </w:p>
        </w:tc>
        <w:tc>
          <w:tcPr>
            <w:tcW w:w="1340"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Practice</w:t>
            </w:r>
          </w:p>
        </w:tc>
        <w:tc>
          <w:tcPr>
            <w:tcW w:w="735"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4.27</w:t>
            </w:r>
          </w:p>
        </w:tc>
      </w:tr>
      <w:tr w:rsidR="00141E2A" w:rsidRPr="00141E2A" w:rsidTr="00141E2A">
        <w:trPr>
          <w:trHeight w:val="576"/>
        </w:trPr>
        <w:tc>
          <w:tcPr>
            <w:tcW w:w="657"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9</w:t>
            </w:r>
          </w:p>
        </w:tc>
        <w:tc>
          <w:tcPr>
            <w:tcW w:w="8268"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There should be career development professionals from marginalized groups represented in career services organizations</w:t>
            </w:r>
          </w:p>
        </w:tc>
        <w:tc>
          <w:tcPr>
            <w:tcW w:w="1340"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Practice</w:t>
            </w:r>
          </w:p>
        </w:tc>
        <w:tc>
          <w:tcPr>
            <w:tcW w:w="735"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4.27</w:t>
            </w:r>
          </w:p>
        </w:tc>
      </w:tr>
      <w:tr w:rsidR="00141E2A" w:rsidRPr="00141E2A" w:rsidTr="00141E2A">
        <w:trPr>
          <w:trHeight w:val="859"/>
        </w:trPr>
        <w:tc>
          <w:tcPr>
            <w:tcW w:w="657"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11</w:t>
            </w:r>
          </w:p>
        </w:tc>
        <w:tc>
          <w:tcPr>
            <w:tcW w:w="8268"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Become knowledgeable about resources used to address systemic barriers (</w:t>
            </w:r>
            <w:proofErr w:type="spellStart"/>
            <w:r w:rsidRPr="00141E2A">
              <w:rPr>
                <w:rFonts w:ascii="Cambria" w:hAnsi="Cambria" w:cs="Calibri"/>
                <w:color w:val="000000"/>
                <w:sz w:val="22"/>
                <w:szCs w:val="22"/>
              </w:rPr>
              <w:t>e,g</w:t>
            </w:r>
            <w:proofErr w:type="spellEnd"/>
            <w:r w:rsidRPr="00141E2A">
              <w:rPr>
                <w:rFonts w:ascii="Cambria" w:hAnsi="Cambria" w:cs="Calibri"/>
                <w:color w:val="000000"/>
                <w:sz w:val="22"/>
                <w:szCs w:val="22"/>
              </w:rPr>
              <w:t>, financial assistance, legal rights), as well as developing multilingual methods for communicating these resources to clients (e.g. having Spanish language materials for ESL clients)</w:t>
            </w:r>
          </w:p>
        </w:tc>
        <w:tc>
          <w:tcPr>
            <w:tcW w:w="1340"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Practice</w:t>
            </w:r>
          </w:p>
        </w:tc>
        <w:tc>
          <w:tcPr>
            <w:tcW w:w="735"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4.18</w:t>
            </w:r>
          </w:p>
        </w:tc>
      </w:tr>
      <w:tr w:rsidR="00141E2A" w:rsidRPr="00141E2A" w:rsidTr="00141E2A">
        <w:trPr>
          <w:trHeight w:val="576"/>
        </w:trPr>
        <w:tc>
          <w:tcPr>
            <w:tcW w:w="657"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12</w:t>
            </w:r>
          </w:p>
        </w:tc>
        <w:tc>
          <w:tcPr>
            <w:tcW w:w="8268"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Advocate for increased access to, and support for, educational opportunities for traditionally marginalized populations</w:t>
            </w:r>
          </w:p>
        </w:tc>
        <w:tc>
          <w:tcPr>
            <w:tcW w:w="1340"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Advocacy</w:t>
            </w:r>
          </w:p>
        </w:tc>
        <w:tc>
          <w:tcPr>
            <w:tcW w:w="735"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4.09</w:t>
            </w:r>
          </w:p>
        </w:tc>
      </w:tr>
      <w:tr w:rsidR="00141E2A" w:rsidRPr="00141E2A" w:rsidTr="00141E2A">
        <w:trPr>
          <w:trHeight w:val="751"/>
        </w:trPr>
        <w:tc>
          <w:tcPr>
            <w:tcW w:w="657"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13</w:t>
            </w:r>
          </w:p>
        </w:tc>
        <w:tc>
          <w:tcPr>
            <w:tcW w:w="8268"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Advocate for legislation and public funding that addresses unfair structures and practices related to the career development of traditionally marginalized populations, and do so collaboratively with such populations when possible</w:t>
            </w:r>
          </w:p>
        </w:tc>
        <w:tc>
          <w:tcPr>
            <w:tcW w:w="1340"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Advocacy</w:t>
            </w:r>
          </w:p>
        </w:tc>
        <w:tc>
          <w:tcPr>
            <w:tcW w:w="735"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4</w:t>
            </w:r>
          </w:p>
        </w:tc>
      </w:tr>
      <w:tr w:rsidR="00141E2A" w:rsidRPr="00141E2A" w:rsidTr="00141E2A">
        <w:trPr>
          <w:trHeight w:val="576"/>
        </w:trPr>
        <w:tc>
          <w:tcPr>
            <w:tcW w:w="657"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14</w:t>
            </w:r>
          </w:p>
        </w:tc>
        <w:tc>
          <w:tcPr>
            <w:tcW w:w="8268"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Advocate in general at the national and community level for the importance of work in the lives of all people.</w:t>
            </w:r>
          </w:p>
        </w:tc>
        <w:tc>
          <w:tcPr>
            <w:tcW w:w="1340"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Advocacy</w:t>
            </w:r>
          </w:p>
        </w:tc>
        <w:tc>
          <w:tcPr>
            <w:tcW w:w="735"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3.82</w:t>
            </w:r>
          </w:p>
        </w:tc>
      </w:tr>
      <w:tr w:rsidR="00141E2A" w:rsidRPr="00141E2A" w:rsidTr="00141E2A">
        <w:trPr>
          <w:trHeight w:val="576"/>
        </w:trPr>
        <w:tc>
          <w:tcPr>
            <w:tcW w:w="657"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15</w:t>
            </w:r>
          </w:p>
        </w:tc>
        <w:tc>
          <w:tcPr>
            <w:tcW w:w="8268"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Increase knowledge of legal regulations and protections that apply to traditionally marginalized populations</w:t>
            </w:r>
          </w:p>
        </w:tc>
        <w:tc>
          <w:tcPr>
            <w:tcW w:w="1340"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Training</w:t>
            </w:r>
          </w:p>
        </w:tc>
        <w:tc>
          <w:tcPr>
            <w:tcW w:w="735"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3.73</w:t>
            </w:r>
          </w:p>
        </w:tc>
      </w:tr>
      <w:tr w:rsidR="00141E2A" w:rsidRPr="00141E2A" w:rsidTr="00141E2A">
        <w:trPr>
          <w:trHeight w:val="472"/>
        </w:trPr>
        <w:tc>
          <w:tcPr>
            <w:tcW w:w="657"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15</w:t>
            </w:r>
          </w:p>
        </w:tc>
        <w:tc>
          <w:tcPr>
            <w:tcW w:w="8268"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New delivery models will need to be developed in order to make up for a shortage of career development professionals</w:t>
            </w:r>
          </w:p>
        </w:tc>
        <w:tc>
          <w:tcPr>
            <w:tcW w:w="1340"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Theory &amp; Research</w:t>
            </w:r>
          </w:p>
        </w:tc>
        <w:tc>
          <w:tcPr>
            <w:tcW w:w="735"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3.73</w:t>
            </w:r>
          </w:p>
        </w:tc>
      </w:tr>
      <w:tr w:rsidR="00141E2A" w:rsidRPr="00141E2A" w:rsidTr="00141E2A">
        <w:trPr>
          <w:trHeight w:val="1152"/>
        </w:trPr>
        <w:tc>
          <w:tcPr>
            <w:tcW w:w="657"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17</w:t>
            </w:r>
          </w:p>
        </w:tc>
        <w:tc>
          <w:tcPr>
            <w:tcW w:w="8268"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Advocate that employers increase awareness (e.g. the value of marginalized workers), implement training (e.g. challenging occupational stereotypes and implicit biases), and develop policies that increase access and equity for traditionally marginalized populations</w:t>
            </w:r>
          </w:p>
        </w:tc>
        <w:tc>
          <w:tcPr>
            <w:tcW w:w="1340"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Advocacy</w:t>
            </w:r>
          </w:p>
        </w:tc>
        <w:tc>
          <w:tcPr>
            <w:tcW w:w="735"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3.55</w:t>
            </w:r>
          </w:p>
        </w:tc>
      </w:tr>
      <w:tr w:rsidR="00141E2A" w:rsidRPr="00141E2A" w:rsidTr="00141E2A">
        <w:trPr>
          <w:trHeight w:val="1048"/>
        </w:trPr>
        <w:tc>
          <w:tcPr>
            <w:tcW w:w="657"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18</w:t>
            </w:r>
          </w:p>
        </w:tc>
        <w:tc>
          <w:tcPr>
            <w:tcW w:w="8268" w:type="dxa"/>
            <w:tcBorders>
              <w:top w:val="single" w:sz="2" w:space="0" w:color="auto"/>
              <w:left w:val="nil"/>
              <w:bottom w:val="single" w:sz="2" w:space="0" w:color="auto"/>
              <w:right w:val="nil"/>
            </w:tcBorders>
            <w:vAlign w:val="center"/>
            <w:hideMark/>
          </w:tcPr>
          <w:p w:rsidR="00141E2A" w:rsidRPr="00141E2A" w:rsidRDefault="00141E2A" w:rsidP="00141E2A">
            <w:pPr>
              <w:contextualSpacing/>
              <w:rPr>
                <w:rFonts w:ascii="Cambria" w:hAnsi="Cambria" w:cs="Calibri"/>
                <w:color w:val="000000"/>
                <w:sz w:val="22"/>
                <w:szCs w:val="22"/>
              </w:rPr>
            </w:pPr>
            <w:r w:rsidRPr="00141E2A">
              <w:rPr>
                <w:rFonts w:ascii="Cambria" w:hAnsi="Cambria" w:cs="Calibri"/>
                <w:color w:val="000000"/>
                <w:sz w:val="22"/>
                <w:szCs w:val="22"/>
              </w:rPr>
              <w:t>Reestablish and create more programs for career counselors throughout the country; further, these programs should be designed to train future professionals meet the unique needs of traditionally marginalized populations, particularly in relation to the local contexts of the clients being served by program graduates</w:t>
            </w:r>
          </w:p>
        </w:tc>
        <w:tc>
          <w:tcPr>
            <w:tcW w:w="1340"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Training</w:t>
            </w:r>
          </w:p>
        </w:tc>
        <w:tc>
          <w:tcPr>
            <w:tcW w:w="735" w:type="dxa"/>
            <w:tcBorders>
              <w:top w:val="single" w:sz="2" w:space="0" w:color="auto"/>
              <w:left w:val="nil"/>
              <w:bottom w:val="single" w:sz="2" w:space="0" w:color="auto"/>
              <w:right w:val="nil"/>
            </w:tcBorders>
            <w:vAlign w:val="center"/>
            <w:hideMark/>
          </w:tcPr>
          <w:p w:rsidR="00141E2A" w:rsidRPr="00141E2A" w:rsidRDefault="00141E2A" w:rsidP="00141E2A">
            <w:pPr>
              <w:rPr>
                <w:rFonts w:ascii="Cambria" w:hAnsi="Cambria" w:cs="Calibri"/>
                <w:color w:val="000000"/>
                <w:sz w:val="22"/>
                <w:szCs w:val="22"/>
              </w:rPr>
            </w:pPr>
            <w:r w:rsidRPr="00141E2A">
              <w:rPr>
                <w:rFonts w:ascii="Cambria" w:hAnsi="Cambria" w:cs="Calibri"/>
                <w:color w:val="000000"/>
                <w:sz w:val="22"/>
                <w:szCs w:val="22"/>
              </w:rPr>
              <w:t>3.45</w:t>
            </w:r>
          </w:p>
        </w:tc>
      </w:tr>
    </w:tbl>
    <w:p w:rsidR="00141E2A" w:rsidRPr="00141E2A" w:rsidRDefault="00141E2A" w:rsidP="00141E2A">
      <w:pPr>
        <w:spacing w:after="200" w:line="276" w:lineRule="auto"/>
        <w:rPr>
          <w:rFonts w:ascii="Cambria" w:eastAsia="Calibri" w:hAnsi="Cambria"/>
          <w:sz w:val="24"/>
          <w:szCs w:val="24"/>
        </w:rPr>
      </w:pPr>
    </w:p>
    <w:p w:rsidR="00141E2A" w:rsidRPr="00D36DEC" w:rsidRDefault="00141E2A" w:rsidP="00141E2A">
      <w:pPr>
        <w:rPr>
          <w:rFonts w:ascii="Calibri" w:hAnsi="Calibri"/>
          <w:sz w:val="22"/>
          <w:szCs w:val="22"/>
        </w:rPr>
      </w:pPr>
    </w:p>
    <w:sectPr w:rsidR="00141E2A" w:rsidRPr="00D36DEC" w:rsidSect="00F82E51">
      <w:pgSz w:w="12240" w:h="15840"/>
      <w:pgMar w:top="1008" w:right="1440" w:bottom="45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D5080"/>
    <w:multiLevelType w:val="hybridMultilevel"/>
    <w:tmpl w:val="2578D4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F7B20CB"/>
    <w:multiLevelType w:val="hybridMultilevel"/>
    <w:tmpl w:val="AA9A4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B4290A"/>
    <w:multiLevelType w:val="singleLevel"/>
    <w:tmpl w:val="0409000F"/>
    <w:lvl w:ilvl="0">
      <w:start w:val="1"/>
      <w:numFmt w:val="decimal"/>
      <w:lvlText w:val="%1."/>
      <w:lvlJc w:val="left"/>
      <w:pPr>
        <w:tabs>
          <w:tab w:val="num" w:pos="360"/>
        </w:tabs>
        <w:ind w:left="360" w:hanging="360"/>
      </w:pPr>
      <w:rPr>
        <w:rFonts w:hint="default"/>
      </w:rPr>
    </w:lvl>
  </w:abstractNum>
  <w:abstractNum w:abstractNumId="3">
    <w:nsid w:val="4BD57C8D"/>
    <w:multiLevelType w:val="singleLevel"/>
    <w:tmpl w:val="0409000F"/>
    <w:lvl w:ilvl="0">
      <w:start w:val="1"/>
      <w:numFmt w:val="decimal"/>
      <w:lvlText w:val="%1."/>
      <w:lvlJc w:val="left"/>
      <w:pPr>
        <w:tabs>
          <w:tab w:val="num" w:pos="360"/>
        </w:tabs>
        <w:ind w:left="360" w:hanging="360"/>
      </w:pPr>
      <w:rPr>
        <w:rFonts w:hint="default"/>
      </w:rPr>
    </w:lvl>
  </w:abstractNum>
  <w:abstractNum w:abstractNumId="4">
    <w:nsid w:val="63916E02"/>
    <w:multiLevelType w:val="hybridMultilevel"/>
    <w:tmpl w:val="0F4AC980"/>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658D28E5"/>
    <w:multiLevelType w:val="singleLevel"/>
    <w:tmpl w:val="0409000F"/>
    <w:lvl w:ilvl="0">
      <w:start w:val="1"/>
      <w:numFmt w:val="decimal"/>
      <w:lvlText w:val="%1."/>
      <w:lvlJc w:val="left"/>
      <w:pPr>
        <w:tabs>
          <w:tab w:val="num" w:pos="360"/>
        </w:tabs>
        <w:ind w:left="360" w:hanging="360"/>
      </w:pPr>
      <w:rPr>
        <w:rFonts w:hint="default"/>
      </w:rPr>
    </w:lvl>
  </w:abstractNum>
  <w:num w:numId="1">
    <w:abstractNumId w:val="5"/>
  </w:num>
  <w:num w:numId="2">
    <w:abstractNumId w:val="2"/>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452"/>
    <w:rsid w:val="00141E2A"/>
    <w:rsid w:val="001A1452"/>
    <w:rsid w:val="00300DAD"/>
    <w:rsid w:val="005A6952"/>
    <w:rsid w:val="0060770E"/>
    <w:rsid w:val="0063677A"/>
    <w:rsid w:val="008B6777"/>
    <w:rsid w:val="00A754AE"/>
    <w:rsid w:val="00B564D6"/>
    <w:rsid w:val="00BA79D0"/>
    <w:rsid w:val="00BF74B3"/>
    <w:rsid w:val="00C37C32"/>
    <w:rsid w:val="00D36DEC"/>
    <w:rsid w:val="00DE3AB5"/>
    <w:rsid w:val="00E074E4"/>
    <w:rsid w:val="00E517BF"/>
    <w:rsid w:val="00E66893"/>
    <w:rsid w:val="00F82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jc w:val="right"/>
      <w:outlineLvl w:val="0"/>
    </w:pPr>
    <w:rPr>
      <w:rFonts w:ascii="Arial" w:hAnsi="Arial"/>
      <w:b/>
      <w:i/>
      <w:sz w:val="24"/>
    </w:rPr>
  </w:style>
  <w:style w:type="paragraph" w:styleId="Heading2">
    <w:name w:val="heading 2"/>
    <w:basedOn w:val="Normal"/>
    <w:next w:val="Normal"/>
    <w:qFormat/>
    <w:pPr>
      <w:keepNext/>
      <w:outlineLvl w:val="1"/>
    </w:pPr>
    <w:rPr>
      <w:rFonts w:ascii="Arial" w:hAnsi="Arial"/>
      <w:sz w:val="24"/>
    </w:rPr>
  </w:style>
  <w:style w:type="paragraph" w:styleId="Heading3">
    <w:name w:val="heading 3"/>
    <w:basedOn w:val="Normal"/>
    <w:next w:val="Normal"/>
    <w:qFormat/>
    <w:pPr>
      <w:keepNext/>
      <w:jc w:val="center"/>
      <w:outlineLvl w:val="2"/>
    </w:pPr>
    <w:rPr>
      <w:rFonts w:ascii="Arial" w:hAnsi="Arial"/>
      <w:b/>
      <w:sz w:val="36"/>
    </w:rPr>
  </w:style>
  <w:style w:type="paragraph" w:styleId="Heading4">
    <w:name w:val="heading 4"/>
    <w:basedOn w:val="Normal"/>
    <w:next w:val="Normal"/>
    <w:qFormat/>
    <w:pPr>
      <w:keepNext/>
      <w:jc w:val="right"/>
      <w:outlineLvl w:val="3"/>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b/>
      <w:u w:val="single"/>
    </w:rPr>
  </w:style>
  <w:style w:type="character" w:styleId="Hyperlink">
    <w:name w:val="Hyperlink"/>
    <w:basedOn w:val="DefaultParagraphFont"/>
    <w:semiHidden/>
    <w:rPr>
      <w:color w:val="0000FF"/>
      <w:u w:val="single"/>
    </w:rPr>
  </w:style>
  <w:style w:type="paragraph" w:styleId="BodyText2">
    <w:name w:val="Body Text 2"/>
    <w:basedOn w:val="Normal"/>
    <w:semiHidden/>
    <w:rPr>
      <w:rFonts w:ascii="Arial" w:hAnsi="Arial"/>
      <w:sz w:val="24"/>
    </w:rPr>
  </w:style>
  <w:style w:type="paragraph" w:styleId="NoSpacing">
    <w:name w:val="No Spacing"/>
    <w:uiPriority w:val="1"/>
    <w:qFormat/>
    <w:rsid w:val="001A1452"/>
    <w:rPr>
      <w:rFonts w:ascii="Calibri" w:eastAsia="Calibri" w:hAnsi="Calibri"/>
      <w:sz w:val="22"/>
      <w:szCs w:val="22"/>
    </w:rPr>
  </w:style>
  <w:style w:type="paragraph" w:styleId="BalloonText">
    <w:name w:val="Balloon Text"/>
    <w:basedOn w:val="Normal"/>
    <w:link w:val="BalloonTextChar"/>
    <w:uiPriority w:val="99"/>
    <w:semiHidden/>
    <w:unhideWhenUsed/>
    <w:rsid w:val="008B6777"/>
    <w:rPr>
      <w:rFonts w:ascii="Tahoma" w:hAnsi="Tahoma" w:cs="Tahoma"/>
      <w:sz w:val="16"/>
      <w:szCs w:val="16"/>
    </w:rPr>
  </w:style>
  <w:style w:type="character" w:customStyle="1" w:styleId="BalloonTextChar">
    <w:name w:val="Balloon Text Char"/>
    <w:basedOn w:val="DefaultParagraphFont"/>
    <w:link w:val="BalloonText"/>
    <w:uiPriority w:val="99"/>
    <w:semiHidden/>
    <w:rsid w:val="008B67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jc w:val="right"/>
      <w:outlineLvl w:val="0"/>
    </w:pPr>
    <w:rPr>
      <w:rFonts w:ascii="Arial" w:hAnsi="Arial"/>
      <w:b/>
      <w:i/>
      <w:sz w:val="24"/>
    </w:rPr>
  </w:style>
  <w:style w:type="paragraph" w:styleId="Heading2">
    <w:name w:val="heading 2"/>
    <w:basedOn w:val="Normal"/>
    <w:next w:val="Normal"/>
    <w:qFormat/>
    <w:pPr>
      <w:keepNext/>
      <w:outlineLvl w:val="1"/>
    </w:pPr>
    <w:rPr>
      <w:rFonts w:ascii="Arial" w:hAnsi="Arial"/>
      <w:sz w:val="24"/>
    </w:rPr>
  </w:style>
  <w:style w:type="paragraph" w:styleId="Heading3">
    <w:name w:val="heading 3"/>
    <w:basedOn w:val="Normal"/>
    <w:next w:val="Normal"/>
    <w:qFormat/>
    <w:pPr>
      <w:keepNext/>
      <w:jc w:val="center"/>
      <w:outlineLvl w:val="2"/>
    </w:pPr>
    <w:rPr>
      <w:rFonts w:ascii="Arial" w:hAnsi="Arial"/>
      <w:b/>
      <w:sz w:val="36"/>
    </w:rPr>
  </w:style>
  <w:style w:type="paragraph" w:styleId="Heading4">
    <w:name w:val="heading 4"/>
    <w:basedOn w:val="Normal"/>
    <w:next w:val="Normal"/>
    <w:qFormat/>
    <w:pPr>
      <w:keepNext/>
      <w:jc w:val="right"/>
      <w:outlineLvl w:val="3"/>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b/>
      <w:u w:val="single"/>
    </w:rPr>
  </w:style>
  <w:style w:type="character" w:styleId="Hyperlink">
    <w:name w:val="Hyperlink"/>
    <w:basedOn w:val="DefaultParagraphFont"/>
    <w:semiHidden/>
    <w:rPr>
      <w:color w:val="0000FF"/>
      <w:u w:val="single"/>
    </w:rPr>
  </w:style>
  <w:style w:type="paragraph" w:styleId="BodyText2">
    <w:name w:val="Body Text 2"/>
    <w:basedOn w:val="Normal"/>
    <w:semiHidden/>
    <w:rPr>
      <w:rFonts w:ascii="Arial" w:hAnsi="Arial"/>
      <w:sz w:val="24"/>
    </w:rPr>
  </w:style>
  <w:style w:type="paragraph" w:styleId="NoSpacing">
    <w:name w:val="No Spacing"/>
    <w:uiPriority w:val="1"/>
    <w:qFormat/>
    <w:rsid w:val="001A1452"/>
    <w:rPr>
      <w:rFonts w:ascii="Calibri" w:eastAsia="Calibri" w:hAnsi="Calibri"/>
      <w:sz w:val="22"/>
      <w:szCs w:val="22"/>
    </w:rPr>
  </w:style>
  <w:style w:type="paragraph" w:styleId="BalloonText">
    <w:name w:val="Balloon Text"/>
    <w:basedOn w:val="Normal"/>
    <w:link w:val="BalloonTextChar"/>
    <w:uiPriority w:val="99"/>
    <w:semiHidden/>
    <w:unhideWhenUsed/>
    <w:rsid w:val="008B6777"/>
    <w:rPr>
      <w:rFonts w:ascii="Tahoma" w:hAnsi="Tahoma" w:cs="Tahoma"/>
      <w:sz w:val="16"/>
      <w:szCs w:val="16"/>
    </w:rPr>
  </w:style>
  <w:style w:type="character" w:customStyle="1" w:styleId="BalloonTextChar">
    <w:name w:val="Balloon Text Char"/>
    <w:basedOn w:val="DefaultParagraphFont"/>
    <w:link w:val="BalloonText"/>
    <w:uiPriority w:val="99"/>
    <w:semiHidden/>
    <w:rsid w:val="008B67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0.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1793</Words>
  <Characters>10224</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National Career Development Association</vt:lpstr>
    </vt:vector>
  </TitlesOfParts>
  <Company>National Career Development Association</Company>
  <LinksUpToDate>false</LinksUpToDate>
  <CharactersWithSpaces>11994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Career Development Association</dc:title>
  <dc:creator>Deneen Pennington</dc:creator>
  <cp:lastModifiedBy>Kevin A. Tate</cp:lastModifiedBy>
  <cp:revision>4</cp:revision>
  <cp:lastPrinted>2004-07-15T20:23:00Z</cp:lastPrinted>
  <dcterms:created xsi:type="dcterms:W3CDTF">2012-08-26T23:22:00Z</dcterms:created>
  <dcterms:modified xsi:type="dcterms:W3CDTF">2012-08-26T23:28:00Z</dcterms:modified>
</cp:coreProperties>
</file>