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FA875" w14:textId="5516D4D3" w:rsidR="00D608BD" w:rsidRDefault="009019A4" w:rsidP="00D608BD">
      <w:pPr>
        <w:jc w:val="center"/>
      </w:pPr>
      <w:r>
        <w:t>Highlights</w:t>
      </w:r>
      <w:r w:rsidR="00D608BD">
        <w:t xml:space="preserve"> of the Advisory Committee on Immunization Practices (ACIP)</w:t>
      </w:r>
    </w:p>
    <w:p w14:paraId="0C77CEBE" w14:textId="2B15B32C" w:rsidR="00D608BD" w:rsidRDefault="00D608BD" w:rsidP="00D608BD">
      <w:pPr>
        <w:jc w:val="center"/>
      </w:pPr>
      <w:r>
        <w:t>Centers for Disease Control and Prevention</w:t>
      </w:r>
    </w:p>
    <w:p w14:paraId="7A875E4C" w14:textId="2A529900" w:rsidR="00D608BD" w:rsidRDefault="00D608BD" w:rsidP="00D608BD">
      <w:pPr>
        <w:jc w:val="center"/>
      </w:pPr>
      <w:r>
        <w:t xml:space="preserve">June </w:t>
      </w:r>
      <w:r w:rsidR="004763BD">
        <w:t>24</w:t>
      </w:r>
      <w:r>
        <w:t>, 2021</w:t>
      </w:r>
    </w:p>
    <w:p w14:paraId="615E60C8" w14:textId="2C83E3E9" w:rsidR="00D608BD" w:rsidRDefault="00D608BD" w:rsidP="00D608BD">
      <w:pPr>
        <w:jc w:val="center"/>
      </w:pPr>
      <w:r>
        <w:t>by Stanley Grogg, DO</w:t>
      </w:r>
    </w:p>
    <w:p w14:paraId="5ACB3257" w14:textId="445261D9" w:rsidR="00D608BD" w:rsidRDefault="00D608BD" w:rsidP="00D608BD">
      <w:pPr>
        <w:jc w:val="center"/>
      </w:pPr>
      <w:r>
        <w:t>Liaison Member for American Osteopathic Association</w:t>
      </w:r>
    </w:p>
    <w:p w14:paraId="27808CFD" w14:textId="09AD8082" w:rsidR="00D608BD" w:rsidRDefault="00D608BD" w:rsidP="00D608BD">
      <w:pPr>
        <w:jc w:val="center"/>
      </w:pPr>
    </w:p>
    <w:p w14:paraId="080F0A12" w14:textId="78B4278A" w:rsidR="00360C5E" w:rsidRDefault="008304D0" w:rsidP="008304D0">
      <w:pPr>
        <w:rPr>
          <w:b/>
          <w:bCs/>
        </w:rPr>
      </w:pPr>
      <w:r>
        <w:rPr>
          <w:b/>
          <w:bCs/>
        </w:rPr>
        <w:t xml:space="preserve">The ACIP </w:t>
      </w:r>
      <w:r w:rsidR="00887707">
        <w:rPr>
          <w:b/>
          <w:bCs/>
        </w:rPr>
        <w:t>recommend</w:t>
      </w:r>
      <w:r>
        <w:rPr>
          <w:b/>
          <w:bCs/>
        </w:rPr>
        <w:t xml:space="preserve"> 3 vaccines, Dengue, Influenza and Rabies. </w:t>
      </w:r>
      <w:r w:rsidRPr="00887707">
        <w:t>All motions were approved 14/0 and funding for the Vaccine for Children (VFC)</w:t>
      </w:r>
      <w:r w:rsidR="00360C5E" w:rsidRPr="00887707">
        <w:t xml:space="preserve"> was approved for all three motions. The motions were as follows: </w:t>
      </w:r>
    </w:p>
    <w:p w14:paraId="67BC1922" w14:textId="67284A40" w:rsidR="00360C5E" w:rsidRDefault="00360C5E" w:rsidP="008304D0">
      <w:pPr>
        <w:rPr>
          <w:b/>
          <w:bCs/>
        </w:rPr>
      </w:pP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03F5E95D" wp14:editId="6B0EE1A8">
            <wp:extent cx="5184775" cy="78058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14" r="3284" b="5501"/>
                    <a:stretch/>
                  </pic:blipFill>
                  <pic:spPr bwMode="auto">
                    <a:xfrm>
                      <a:off x="0" y="0"/>
                      <a:ext cx="5225088" cy="78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2E856" w14:textId="46B0AB7F" w:rsidR="00360C5E" w:rsidRDefault="00360C5E" w:rsidP="008304D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68AA1B9" wp14:editId="258A4182">
            <wp:extent cx="5184820" cy="936702"/>
            <wp:effectExtent l="0" t="0" r="0" b="31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549" cy="99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E2FDF" w14:textId="23A013B9" w:rsidR="008304D0" w:rsidRPr="00D608BD" w:rsidRDefault="00887707" w:rsidP="008304D0">
      <w:pPr>
        <w:rPr>
          <w:b/>
          <w:bCs/>
        </w:rPr>
      </w:pPr>
      <w:r>
        <w:rPr>
          <w:noProof/>
        </w:rPr>
        <w:drawing>
          <wp:inline distT="0" distB="0" distL="0" distR="0" wp14:anchorId="5BB199D7" wp14:editId="6DE5CAC0">
            <wp:extent cx="4321098" cy="1789771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4" b="15512"/>
                    <a:stretch/>
                  </pic:blipFill>
                  <pic:spPr bwMode="auto">
                    <a:xfrm>
                      <a:off x="0" y="0"/>
                      <a:ext cx="4358939" cy="1805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7B059" w14:textId="01A9F01F" w:rsidR="00D608BD" w:rsidRDefault="00D608BD" w:rsidP="00D608BD">
      <w:pPr>
        <w:rPr>
          <w:b/>
          <w:bCs/>
        </w:rPr>
      </w:pPr>
      <w:r w:rsidRPr="00D608BD">
        <w:rPr>
          <w:b/>
          <w:bCs/>
        </w:rPr>
        <w:t>Dengue Vaccine</w:t>
      </w:r>
    </w:p>
    <w:p w14:paraId="779B2774" w14:textId="4BC3041F" w:rsidR="00611B7C" w:rsidRDefault="00887707" w:rsidP="00D608BD">
      <w:r w:rsidRPr="00887707">
        <w:t>The vaccine is only for 9–16-year-olds with a positive test for previous history of Dengue disease.</w:t>
      </w:r>
      <w:r>
        <w:t xml:space="preserve"> Surveys were done of the people and physicians in Puerto Rico and most approved of the testing for Dengue and vaccination if laboratory evidence of previous Dengue infections. </w:t>
      </w:r>
      <w:r>
        <w:t>Cost of Dengue vaccine is about $100 per dose X 3 doses = $300 per Sanofi</w:t>
      </w:r>
      <w:r>
        <w:t xml:space="preserve"> and will be covered by VFC or private insurance.</w:t>
      </w:r>
    </w:p>
    <w:p w14:paraId="1381EB63" w14:textId="77777777" w:rsidR="00887707" w:rsidRDefault="00887707" w:rsidP="00D608BD"/>
    <w:p w14:paraId="4E11CA86" w14:textId="7E31483A" w:rsidR="00E53713" w:rsidRDefault="00611B7C" w:rsidP="00D608BD">
      <w:pPr>
        <w:rPr>
          <w:b/>
          <w:bCs/>
        </w:rPr>
      </w:pPr>
      <w:r w:rsidRPr="00611B7C">
        <w:rPr>
          <w:b/>
          <w:bCs/>
        </w:rPr>
        <w:t>Influenza Vaccines</w:t>
      </w:r>
    </w:p>
    <w:p w14:paraId="57FD5D30" w14:textId="45E8FF23" w:rsidR="00DF1890" w:rsidRPr="00DF1890" w:rsidRDefault="00DF1890" w:rsidP="00D608BD">
      <w:pPr>
        <w:rPr>
          <w:b/>
          <w:bCs/>
        </w:rPr>
      </w:pPr>
      <w:r>
        <w:rPr>
          <w:b/>
          <w:bCs/>
        </w:rPr>
        <w:t xml:space="preserve">Annual Influenza Vaccine </w:t>
      </w:r>
      <w:r w:rsidRPr="00DF1890">
        <w:t>is recommended for all without contraindications at and beyond 6 months of age.</w:t>
      </w:r>
      <w:r>
        <w:t xml:space="preserve"> See tables below for expected influenza vaccines and composition of 2021-22 season vaccines. All influenza vaccines are quadrivalent.</w:t>
      </w:r>
      <w:r w:rsidRPr="00DF1890">
        <w:rPr>
          <w:b/>
          <w:bCs/>
        </w:rPr>
        <w:t xml:space="preserve"> </w:t>
      </w:r>
      <w:r>
        <w:rPr>
          <w:b/>
          <w:bCs/>
        </w:rPr>
        <w:t xml:space="preserve">Flucelvax Quadrivalent, </w:t>
      </w:r>
      <w:r w:rsidRPr="00DF1890">
        <w:t>cell cultured based injectable vaccine (ccIIV4)</w:t>
      </w:r>
      <w:r>
        <w:t>,</w:t>
      </w:r>
      <w:r>
        <w:rPr>
          <w:b/>
          <w:bCs/>
        </w:rPr>
        <w:t xml:space="preserve"> </w:t>
      </w:r>
      <w:r w:rsidRPr="00DF1890">
        <w:t>was recommended for 6 months of age and older</w:t>
      </w:r>
      <w:r>
        <w:t xml:space="preserve">. Influenza vaccine can be given with CoVid-19 vaccines. </w:t>
      </w:r>
    </w:p>
    <w:p w14:paraId="69C908C6" w14:textId="6D87CB4A" w:rsidR="00E53713" w:rsidRPr="00E53713" w:rsidRDefault="00E53713" w:rsidP="00D608BD">
      <w:pPr>
        <w:rPr>
          <w:b/>
          <w:bCs/>
        </w:rPr>
      </w:pPr>
    </w:p>
    <w:p w14:paraId="6D398C71" w14:textId="08240278" w:rsidR="00E53713" w:rsidRDefault="00DF1890" w:rsidP="00DF1890">
      <w:r>
        <w:rPr>
          <w:noProof/>
        </w:rPr>
        <w:lastRenderedPageBreak/>
        <w:drawing>
          <wp:inline distT="0" distB="0" distL="0" distR="0" wp14:anchorId="4CD61073" wp14:editId="09BA1514">
            <wp:extent cx="2932771" cy="1644357"/>
            <wp:effectExtent l="0" t="0" r="12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018" cy="172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7F622D" wp14:editId="7A68220D">
            <wp:extent cx="2932430" cy="1382565"/>
            <wp:effectExtent l="0" t="0" r="1270" b="190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163" cy="143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76A78" w14:textId="1BE27885" w:rsidR="003630F5" w:rsidRDefault="00DF1890" w:rsidP="00D608BD">
      <w:r>
        <w:t xml:space="preserve">The </w:t>
      </w:r>
      <w:r w:rsidR="0093046C">
        <w:t xml:space="preserve">because of waning protection following vaccination, </w:t>
      </w:r>
      <w:r>
        <w:t xml:space="preserve">timing of influenza vaccines are recommended by the end of October and continues as long as influenza </w:t>
      </w:r>
      <w:r w:rsidR="0093046C">
        <w:t>viruses</w:t>
      </w:r>
      <w:r>
        <w:t xml:space="preserve"> are circulating. </w:t>
      </w:r>
      <w:r w:rsidR="0093046C">
        <w:t>Other changes:</w:t>
      </w:r>
    </w:p>
    <w:p w14:paraId="3146A9C5" w14:textId="6926DAEC" w:rsidR="002E7C01" w:rsidRDefault="00681FBD" w:rsidP="00D608BD">
      <w:r>
        <w:t xml:space="preserve"> </w:t>
      </w:r>
      <w:r w:rsidR="0093046C">
        <w:rPr>
          <w:noProof/>
        </w:rPr>
        <w:drawing>
          <wp:inline distT="0" distB="0" distL="0" distR="0" wp14:anchorId="7D50BD7C" wp14:editId="1D822646">
            <wp:extent cx="4270917" cy="971999"/>
            <wp:effectExtent l="0" t="0" r="0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53" r="1765"/>
                    <a:stretch/>
                  </pic:blipFill>
                  <pic:spPr bwMode="auto">
                    <a:xfrm>
                      <a:off x="0" y="0"/>
                      <a:ext cx="4340148" cy="987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209BEB" w14:textId="21178009" w:rsidR="00E53713" w:rsidRDefault="002E7C01" w:rsidP="00D608BD">
      <w:r>
        <w:rPr>
          <w:noProof/>
        </w:rPr>
        <w:drawing>
          <wp:inline distT="0" distB="0" distL="0" distR="0" wp14:anchorId="1ADBDF96" wp14:editId="11203A4C">
            <wp:extent cx="4198434" cy="524188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21" r="656"/>
                    <a:stretch/>
                  </pic:blipFill>
                  <pic:spPr bwMode="auto">
                    <a:xfrm>
                      <a:off x="0" y="0"/>
                      <a:ext cx="4571839" cy="5708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30F5">
        <w:rPr>
          <w:noProof/>
        </w:rPr>
        <w:drawing>
          <wp:inline distT="0" distB="0" distL="0" distR="0" wp14:anchorId="2503542E" wp14:editId="68BC4F70">
            <wp:extent cx="4942994" cy="948690"/>
            <wp:effectExtent l="0" t="0" r="0" b="381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9" t="61936" r="-1115"/>
                    <a:stretch/>
                  </pic:blipFill>
                  <pic:spPr bwMode="auto">
                    <a:xfrm>
                      <a:off x="0" y="0"/>
                      <a:ext cx="4955342" cy="95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E3AB1" w14:textId="1801F36A" w:rsidR="002E7C01" w:rsidRDefault="0093046C" w:rsidP="00D608BD">
      <w:proofErr w:type="spellStart"/>
      <w:r>
        <w:t>Contrainciations</w:t>
      </w:r>
      <w:proofErr w:type="spellEnd"/>
      <w:r>
        <w:t xml:space="preserve"> of influenza vaccines changes in red:</w:t>
      </w:r>
    </w:p>
    <w:p w14:paraId="0403A50E" w14:textId="1D4079E3" w:rsidR="00611B7C" w:rsidRPr="009019A4" w:rsidRDefault="00D51BC7" w:rsidP="00D608BD">
      <w:r>
        <w:rPr>
          <w:noProof/>
        </w:rPr>
        <w:drawing>
          <wp:inline distT="0" distB="0" distL="0" distR="0" wp14:anchorId="3B859554" wp14:editId="1D02A56E">
            <wp:extent cx="4861932" cy="1718480"/>
            <wp:effectExtent l="0" t="0" r="254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87" r="1377"/>
                    <a:stretch/>
                  </pic:blipFill>
                  <pic:spPr bwMode="auto">
                    <a:xfrm>
                      <a:off x="0" y="0"/>
                      <a:ext cx="4889290" cy="1728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663CE">
        <w:rPr>
          <w:b/>
          <w:bCs/>
        </w:rPr>
        <w:tab/>
      </w:r>
      <w:r w:rsidR="006663CE">
        <w:rPr>
          <w:b/>
          <w:bCs/>
        </w:rPr>
        <w:tab/>
      </w:r>
      <w:r w:rsidR="006663CE">
        <w:rPr>
          <w:b/>
          <w:bCs/>
        </w:rPr>
        <w:tab/>
      </w:r>
      <w:r w:rsidR="006663CE">
        <w:rPr>
          <w:b/>
          <w:bCs/>
        </w:rPr>
        <w:tab/>
      </w:r>
      <w:r w:rsidR="006663CE">
        <w:rPr>
          <w:b/>
          <w:bCs/>
        </w:rPr>
        <w:tab/>
      </w:r>
      <w:r w:rsidR="00256D25">
        <w:rPr>
          <w:b/>
          <w:bCs/>
        </w:rPr>
        <w:tab/>
      </w:r>
    </w:p>
    <w:p w14:paraId="1CBA3595" w14:textId="788BA52F" w:rsidR="00DC0960" w:rsidRPr="009019A4" w:rsidRDefault="00611B7C" w:rsidP="00D608BD">
      <w:pPr>
        <w:rPr>
          <w:b/>
          <w:bCs/>
        </w:rPr>
      </w:pPr>
      <w:r w:rsidRPr="00611B7C">
        <w:rPr>
          <w:b/>
          <w:bCs/>
        </w:rPr>
        <w:t>Rabies Vaccines</w:t>
      </w:r>
    </w:p>
    <w:p w14:paraId="516072D4" w14:textId="7245EBF3" w:rsidR="00D608BD" w:rsidRDefault="0093046C" w:rsidP="009019A4">
      <w:r>
        <w:t>Rabies is caused by a neurotropic virus that enters the peripheral nerves and travels to the central nervous system. Incubation period is usually weeks to months. Dea</w:t>
      </w:r>
      <w:r w:rsidR="009019A4">
        <w:t xml:space="preserve">th typically within 2 weeks of illness onset. There are 3 licensed rabies vaccines in the US.  </w:t>
      </w:r>
    </w:p>
    <w:sectPr w:rsidR="00D608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00C55E" w14:textId="77777777" w:rsidR="00957139" w:rsidRDefault="00957139" w:rsidP="006673E4">
      <w:r>
        <w:separator/>
      </w:r>
    </w:p>
  </w:endnote>
  <w:endnote w:type="continuationSeparator" w:id="0">
    <w:p w14:paraId="7617B9EA" w14:textId="77777777" w:rsidR="00957139" w:rsidRDefault="00957139" w:rsidP="00667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80F31E" w14:textId="77777777" w:rsidR="00957139" w:rsidRDefault="00957139" w:rsidP="006673E4">
      <w:r>
        <w:separator/>
      </w:r>
    </w:p>
  </w:footnote>
  <w:footnote w:type="continuationSeparator" w:id="0">
    <w:p w14:paraId="015682F1" w14:textId="77777777" w:rsidR="00957139" w:rsidRDefault="00957139" w:rsidP="006673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8BD"/>
    <w:rsid w:val="000566E5"/>
    <w:rsid w:val="00224607"/>
    <w:rsid w:val="0024444C"/>
    <w:rsid w:val="00256D25"/>
    <w:rsid w:val="002E7C01"/>
    <w:rsid w:val="00322BB0"/>
    <w:rsid w:val="00360C5E"/>
    <w:rsid w:val="003630F5"/>
    <w:rsid w:val="00383C44"/>
    <w:rsid w:val="00470E31"/>
    <w:rsid w:val="004763BD"/>
    <w:rsid w:val="00611B7C"/>
    <w:rsid w:val="006663CE"/>
    <w:rsid w:val="006673E4"/>
    <w:rsid w:val="00681FBD"/>
    <w:rsid w:val="008304D0"/>
    <w:rsid w:val="0088336A"/>
    <w:rsid w:val="00887707"/>
    <w:rsid w:val="008C7287"/>
    <w:rsid w:val="009019A4"/>
    <w:rsid w:val="0093046C"/>
    <w:rsid w:val="00957139"/>
    <w:rsid w:val="00A041BF"/>
    <w:rsid w:val="00AD51FF"/>
    <w:rsid w:val="00AE7494"/>
    <w:rsid w:val="00BE7821"/>
    <w:rsid w:val="00C17D25"/>
    <w:rsid w:val="00C26EBD"/>
    <w:rsid w:val="00D46F30"/>
    <w:rsid w:val="00D51BC7"/>
    <w:rsid w:val="00D608BD"/>
    <w:rsid w:val="00DC0960"/>
    <w:rsid w:val="00DC33EB"/>
    <w:rsid w:val="00DE6DE0"/>
    <w:rsid w:val="00DF1890"/>
    <w:rsid w:val="00E13820"/>
    <w:rsid w:val="00E53713"/>
    <w:rsid w:val="00F05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9C6CE1"/>
  <w15:chartTrackingRefBased/>
  <w15:docId w15:val="{A9A40D9B-BFB7-EA42-B3A3-49961432C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3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3E4"/>
  </w:style>
  <w:style w:type="paragraph" w:styleId="Footer">
    <w:name w:val="footer"/>
    <w:basedOn w:val="Normal"/>
    <w:link w:val="FooterChar"/>
    <w:uiPriority w:val="99"/>
    <w:unhideWhenUsed/>
    <w:rsid w:val="006673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3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3117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404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Grogg</dc:creator>
  <cp:keywords/>
  <dc:description/>
  <cp:lastModifiedBy>Stanley Grogg</cp:lastModifiedBy>
  <cp:revision>4</cp:revision>
  <dcterms:created xsi:type="dcterms:W3CDTF">2021-06-24T20:51:00Z</dcterms:created>
  <dcterms:modified xsi:type="dcterms:W3CDTF">2021-06-24T21:41:00Z</dcterms:modified>
</cp:coreProperties>
</file>